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rFonts w:ascii="Verdana" w:hAnsi="Verdana"/>
          <w:szCs w:val="24"/>
        </w:rPr>
      </w:pPr>
      <w:r>
        <w:rPr>
          <w:rFonts w:ascii="Verdana" w:hAnsi="Verdana"/>
          <w:szCs w:val="24"/>
        </w:rPr>
      </w:r>
    </w:p>
    <w:p>
      <w:pPr>
        <w:pStyle w:val="Normal"/>
        <w:ind w:firstLine="708"/>
        <w:jc w:val="both"/>
        <w:rPr/>
      </w:pPr>
      <w:r>
        <w:rPr>
          <w:rFonts w:ascii="Verdana" w:hAnsi="Verdana"/>
          <w:szCs w:val="24"/>
        </w:rPr>
        <w:t xml:space="preserve"> </w:t>
      </w:r>
      <w:r>
        <w:rPr>
          <w:rFonts w:ascii="Verdana" w:hAnsi="Verdana"/>
          <w:szCs w:val="24"/>
        </w:rPr>
        <w:t>EDITAL DE PREGÃO PRESENCIAL Nº 17/2018</w:t>
      </w:r>
    </w:p>
    <w:p>
      <w:pPr>
        <w:pStyle w:val="Normal"/>
        <w:ind w:firstLine="708"/>
        <w:jc w:val="both"/>
        <w:rPr>
          <w:rFonts w:ascii="Verdana" w:hAnsi="Verdana"/>
          <w:szCs w:val="24"/>
        </w:rPr>
      </w:pPr>
      <w:r>
        <w:rPr>
          <w:rFonts w:ascii="Verdana" w:hAnsi="Verdana"/>
          <w:szCs w:val="24"/>
        </w:rPr>
      </w:r>
    </w:p>
    <w:p>
      <w:pPr>
        <w:pStyle w:val="Normal"/>
        <w:ind w:firstLine="709"/>
        <w:jc w:val="both"/>
        <w:rPr>
          <w:rFonts w:ascii="Verdana" w:hAnsi="Verdana"/>
          <w:szCs w:val="24"/>
        </w:rPr>
      </w:pPr>
      <w:r>
        <w:rPr>
          <w:rFonts w:ascii="Verdana" w:hAnsi="Verdana"/>
          <w:szCs w:val="24"/>
        </w:rPr>
        <w:t>PREÂMBULO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A Câmara Municipal de Cachoeiro de Itapemirim -CMCI, localizado na Pça Jerônimo Monteiro, nº 70, Centro, Cachoeiro de Itapemirim/ES, torna público que realizará procedimento de licitação na modalidade Pregão Presencial, com amparo na Lei nº 10.520/2002, Lei nº 8.666/1993, Lei Complementar nº 123/2006 e Lei Complementar Estadual nº 618/2012, através da Pregoeira e Equipe de Apoio designados pelo Decreto nº 2625/2017, e ainda Portaria nº 319/2017.</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I</w:t>
        <w:tab/>
        <w:t>- DISPOSIÇÕES PRELIMINARES</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1.1</w:t>
        <w:tab/>
        <w:t>- Modalidade: Pregão Presencial</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1.2</w:t>
        <w:tab/>
        <w:t>- Processo Administrativo nº 76.292/2018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1.3</w:t>
        <w:tab/>
        <w:t>- Tipo de Licitação: MENOR PREÇO POR LOTE.</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1.4</w:t>
        <w:tab/>
        <w:t>- Objeto: Contratação exclusiva de microempresa ou empresa de pequeno porte especializada em serviços gráficos, conforme quantidades e especificações contidas no TERMO DE REFERÊNCIA - ANEXO I deste Edital.</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1.5</w:t>
        <w:tab/>
        <w:t>- Dotação Orçamentária: 3.3.90.39.55 – SERVIÇOS GRÁFICOS E EDITORIAIS</w:t>
      </w:r>
    </w:p>
    <w:p>
      <w:pPr>
        <w:pStyle w:val="Normal"/>
        <w:ind w:firstLine="708"/>
        <w:jc w:val="both"/>
        <w:rPr>
          <w:rFonts w:ascii="Verdana" w:hAnsi="Verdana"/>
          <w:szCs w:val="24"/>
        </w:rPr>
      </w:pPr>
      <w:r>
        <w:rPr>
          <w:rFonts w:ascii="Verdana" w:hAnsi="Verdana"/>
          <w:szCs w:val="24"/>
        </w:rPr>
      </w:r>
    </w:p>
    <w:p>
      <w:pPr>
        <w:pStyle w:val="Normal"/>
        <w:jc w:val="both"/>
        <w:rPr>
          <w:rFonts w:ascii="Verdana" w:hAnsi="Verdana"/>
          <w:szCs w:val="24"/>
        </w:rPr>
      </w:pPr>
      <w:r>
        <w:rPr>
          <w:rFonts w:ascii="Verdana" w:hAnsi="Verdana"/>
          <w:szCs w:val="24"/>
        </w:rPr>
        <w:t xml:space="preserve"> </w:t>
      </w:r>
      <w:r>
        <w:rPr>
          <w:rFonts w:ascii="Verdana" w:hAnsi="Verdana"/>
          <w:szCs w:val="24"/>
        </w:rPr>
        <w:tab/>
        <w:t>II</w:t>
        <w:tab/>
        <w:t>– DATA, HORÁRIO E LOCAL</w:t>
      </w:r>
    </w:p>
    <w:p>
      <w:pPr>
        <w:pStyle w:val="Normal"/>
        <w:ind w:firstLine="708"/>
        <w:jc w:val="both"/>
        <w:rPr/>
      </w:pPr>
      <w:r>
        <w:rPr>
          <w:rFonts w:ascii="Verdana" w:hAnsi="Verdana"/>
          <w:szCs w:val="24"/>
        </w:rPr>
        <w:t>Pregão Presencial nº 17/2018, Dia: 26/12/2018</w:t>
      </w:r>
    </w:p>
    <w:p>
      <w:pPr>
        <w:pStyle w:val="Normal"/>
        <w:ind w:firstLine="708"/>
        <w:jc w:val="both"/>
        <w:rPr/>
      </w:pPr>
      <w:r>
        <w:rPr>
          <w:rFonts w:ascii="Verdana" w:hAnsi="Verdana"/>
          <w:szCs w:val="24"/>
        </w:rPr>
        <w:t>Credenciamento: Até 26/12/2018 às 10:00 h</w:t>
      </w:r>
    </w:p>
    <w:p>
      <w:pPr>
        <w:pStyle w:val="Normal"/>
        <w:ind w:firstLine="708"/>
        <w:jc w:val="both"/>
        <w:rPr/>
      </w:pPr>
      <w:r>
        <w:rPr>
          <w:rFonts w:ascii="Verdana" w:hAnsi="Verdana"/>
          <w:szCs w:val="24"/>
        </w:rPr>
        <w:t>Sessão Pública de disputa: 10:00 h</w:t>
      </w:r>
    </w:p>
    <w:p>
      <w:pPr>
        <w:pStyle w:val="Normal"/>
        <w:jc w:val="both"/>
        <w:rPr>
          <w:rFonts w:ascii="Verdana" w:hAnsi="Verdana"/>
          <w:szCs w:val="24"/>
        </w:rPr>
      </w:pPr>
      <w:r>
        <w:rPr>
          <w:rFonts w:ascii="Verdana" w:hAnsi="Verdana"/>
          <w:szCs w:val="24"/>
        </w:rPr>
        <w:t xml:space="preserve">        </w:t>
      </w:r>
    </w:p>
    <w:p>
      <w:pPr>
        <w:pStyle w:val="Normal"/>
        <w:jc w:val="both"/>
        <w:rPr>
          <w:rFonts w:ascii="Verdana" w:hAnsi="Verdana"/>
          <w:szCs w:val="24"/>
        </w:rPr>
      </w:pPr>
      <w:r>
        <w:rPr>
          <w:rFonts w:ascii="Verdana" w:hAnsi="Verdana"/>
          <w:szCs w:val="24"/>
        </w:rPr>
        <w:t xml:space="preserve">  </w:t>
      </w:r>
      <w:r>
        <w:rPr>
          <w:rFonts w:ascii="Verdana" w:hAnsi="Verdana"/>
          <w:szCs w:val="24"/>
        </w:rPr>
        <w:t>Local: Sala de Licitações da Câmara Municipal de Cachoeiro de Itapemirim, localizada na Pça Jerônimo Monteiro, nº 70, Centro – Cachoeiro de Itapemirim/ES.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III</w:t>
        <w:tab/>
        <w:t>- DIVULGAÇÃO, ESCLARECIMENTOS E IMPUGNAÇÕES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3.1</w:t>
        <w:tab/>
        <w:t xml:space="preserve">- As microempresas ou empresas de pequeno porte que tiverem interesse em participar do certame deverão retirar o edital no site </w:t>
      </w:r>
      <w:r>
        <w:rPr>
          <w:rFonts w:ascii="Verdana" w:hAnsi="Verdana"/>
          <w:b/>
          <w:szCs w:val="24"/>
        </w:rPr>
        <w:t>www.cmci.es.gov.br</w:t>
      </w:r>
      <w:r>
        <w:rPr>
          <w:rFonts w:ascii="Verdana" w:hAnsi="Verdana"/>
          <w:szCs w:val="24"/>
        </w:rPr>
        <w:t>, ficando obrigadas a acompanhar as publicações referentes à licitação no Diário Oficial do Municipal, tendo em vista a possibilidade de alterações e avisos sobre o procedimento.</w:t>
      </w:r>
    </w:p>
    <w:p>
      <w:pPr>
        <w:pStyle w:val="Normal"/>
        <w:ind w:firstLine="708"/>
        <w:jc w:val="both"/>
        <w:rPr>
          <w:rFonts w:ascii="Verdana" w:hAnsi="Verdana"/>
          <w:szCs w:val="24"/>
        </w:rPr>
      </w:pPr>
      <w:r>
        <w:rPr>
          <w:rFonts w:ascii="Verdana" w:hAnsi="Verdana"/>
          <w:szCs w:val="24"/>
        </w:rPr>
        <w:t xml:space="preserve"> </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3.2</w:t>
        <w:tab/>
        <w:t xml:space="preserve">- Os pedidos de esclarecimentos sobre o procedimento de licitação devem ser enviados a Pregoeira até 3 (três) dias úteis antes da data fixada para abertura da sessão pública, através do endereço eletrônico </w:t>
      </w:r>
      <w:r>
        <w:rPr>
          <w:rFonts w:ascii="Verdana" w:hAnsi="Verdana"/>
          <w:b/>
          <w:szCs w:val="24"/>
        </w:rPr>
        <w:t>licitacao@cmci.es.gov.br</w:t>
      </w:r>
      <w:r>
        <w:rPr>
          <w:rFonts w:ascii="Verdana" w:hAnsi="Verdana"/>
          <w:szCs w:val="24"/>
        </w:rPr>
        <w:t xml:space="preserve"> ou pelos telefones (28) 3526-5619. Os esclarecimentos serão respondidos até o dia anterior marcado para a realização da sessão pública.</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3.3</w:t>
        <w:tab/>
        <w:t xml:space="preserve">- Os esclarecimentos relativos ao objeto licitado devem ser encaminhados ao setor de compras da Câmara Municipal de Cachoeiro de Itapemirim/ES, aos cuidados da servidora Rosa Consoli Hemerly, através do endereço eletrônico </w:t>
      </w:r>
      <w:r>
        <w:rPr>
          <w:rFonts w:ascii="Verdana" w:hAnsi="Verdana"/>
          <w:b/>
          <w:szCs w:val="24"/>
        </w:rPr>
        <w:t>licitacao@cmci.es.gov.br</w:t>
      </w:r>
      <w:r>
        <w:rPr>
          <w:rFonts w:ascii="Verdana" w:hAnsi="Verdana"/>
          <w:szCs w:val="24"/>
        </w:rPr>
        <w:t>, ou pelo telefone (28) 3526-5619 .</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3.4</w:t>
        <w:tab/>
        <w:t>- A impugnação do edital deverá ser promovida através de protocolo no protocolo da Câmara Municipal de Cachoeiro de Itapemirim, até 2 (dois) dias úteis antes da data fixada para abertura da sessão pública.</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3.5</w:t>
        <w:tab/>
        <w:t>- A impugnação do edital deverá ser dirigida a Pregoeira, indicando os números do Pregão e do Processo Administrativo, assim como o telefone e o e-mail do impugnante. No mesmo momento deverá ser juntado documento que comprove a aptidão do signatário para a representação da empresa licitante.</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3.6</w:t>
        <w:tab/>
        <w:t>- A Pregoeira decidirá sobre a impugnação no prazo de 24 (vinte e quatro) horas, informando ao interessado sobre a sua decisão.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3.7</w:t>
        <w:tab/>
        <w:t>- No caso de acolhimento da impugnação, será designada nova data para a realização do certame, exceto quando, inquestionavelmente, a alteração não afetar a formulação das propostas.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IV</w:t>
        <w:tab/>
        <w:t>- CONDIÇÕES DE PARTICIPAÇÃO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4.1</w:t>
        <w:tab/>
        <w:t>- Poderão participar desta licitação somente microempresas ou empresas de pequeno porte do ramo de atividade pertinente ao objeto licitado, que atenderem a todas as exigências deste edital e seus anexos, sendo vedada a participação de empresa:</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a)</w:t>
        <w:tab/>
        <w:t>suspensa de participar de licitação e impedida de contratar com A Câmara Municipal de Cachoeiro de Itapemirim/ES;</w:t>
      </w:r>
    </w:p>
    <w:p>
      <w:pPr>
        <w:pStyle w:val="Normal"/>
        <w:ind w:firstLine="708"/>
        <w:jc w:val="both"/>
        <w:rPr>
          <w:rFonts w:ascii="Verdana" w:hAnsi="Verdana"/>
          <w:szCs w:val="24"/>
        </w:rPr>
      </w:pPr>
      <w:r>
        <w:rPr>
          <w:rFonts w:ascii="Verdana" w:hAnsi="Verdana"/>
          <w:szCs w:val="24"/>
        </w:rPr>
        <w:t>b)</w:t>
        <w:tab/>
        <w:t>declarada inidônea para licitar ou contratar com quaisquer órgãos da Administração Pública, cuja consulta será feita nos termos do art. 22 da Lei nº 12.846/2013;</w:t>
      </w:r>
    </w:p>
    <w:p>
      <w:pPr>
        <w:pStyle w:val="Normal"/>
        <w:ind w:firstLine="708"/>
        <w:jc w:val="both"/>
        <w:rPr>
          <w:rFonts w:ascii="Verdana" w:hAnsi="Verdana"/>
          <w:szCs w:val="24"/>
        </w:rPr>
      </w:pPr>
      <w:r>
        <w:rPr>
          <w:rFonts w:ascii="Verdana" w:hAnsi="Verdana"/>
          <w:szCs w:val="24"/>
        </w:rPr>
        <w:t>c)</w:t>
        <w:tab/>
        <w:t>que incidir no estipulado no art. 9º da Lei nº 8.666/1993;</w:t>
      </w:r>
    </w:p>
    <w:p>
      <w:pPr>
        <w:pStyle w:val="Normal"/>
        <w:ind w:firstLine="708"/>
        <w:jc w:val="both"/>
        <w:rPr>
          <w:rFonts w:ascii="Verdana" w:hAnsi="Verdana"/>
          <w:szCs w:val="24"/>
        </w:rPr>
      </w:pPr>
      <w:r>
        <w:rPr>
          <w:rFonts w:ascii="Verdana" w:hAnsi="Verdana"/>
          <w:szCs w:val="24"/>
        </w:rPr>
        <w:t>d)</w:t>
        <w:tab/>
        <w:t>sociedade empresária que se encontre em processo de dissolução, recuperação judicial, recuperação extrajudicial, falência, concordata, fusão, cisão, ou incorporação;</w:t>
      </w:r>
    </w:p>
    <w:p>
      <w:pPr>
        <w:pStyle w:val="Normal"/>
        <w:ind w:firstLine="708"/>
        <w:jc w:val="both"/>
        <w:rPr>
          <w:rFonts w:ascii="Verdana" w:hAnsi="Verdana"/>
          <w:szCs w:val="24"/>
        </w:rPr>
      </w:pPr>
      <w:r>
        <w:rPr>
          <w:rFonts w:ascii="Verdana" w:hAnsi="Verdana"/>
          <w:szCs w:val="24"/>
        </w:rPr>
        <w:t xml:space="preserve"> </w:t>
      </w:r>
      <w:r>
        <w:rPr>
          <w:rFonts w:ascii="Verdana" w:hAnsi="Verdana"/>
          <w:szCs w:val="24"/>
        </w:rPr>
        <w:t>e)</w:t>
        <w:tab/>
        <w:t>que esteja constituída sob a forma de consórcio;</w:t>
      </w:r>
    </w:p>
    <w:p>
      <w:pPr>
        <w:pStyle w:val="Normal"/>
        <w:ind w:firstLine="708"/>
        <w:jc w:val="both"/>
        <w:rPr/>
      </w:pPr>
      <w:r>
        <w:rPr>
          <w:rFonts w:ascii="Verdana" w:hAnsi="Verdana"/>
          <w:szCs w:val="24"/>
        </w:rPr>
        <w:t>f)</w:t>
        <w:tab/>
        <w:t>cujo objeto social não seja compatível com o objeto desta licitação.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4.2</w:t>
        <w:tab/>
        <w:t>- A observância das vedações do item anterior é de inteira responsabilidade do licitante que, pelo descumprimento, sujeita-se às penalidades cabíveis.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4.3</w:t>
        <w:tab/>
        <w:t>- A participação no certame implica na aceitação de todas as condições estabelecidas neste instrumento convocatório.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V</w:t>
        <w:tab/>
        <w:t>- CREDENCIAMENTO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5.1</w:t>
        <w:tab/>
        <w:t>- O credenciamento será iniciado com antecedência de 30 (trinta) minutos do horário especificado no item II para a sessão pública do Pregão.</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5.2</w:t>
        <w:tab/>
        <w:t>- As empresas licitantes poderão ser representadas na sessão do Pregão por proprietário, sócio ou dirigente, desde que seja apresentado o original ou cópia autenticada do Estatuto ou Contrato Social e seus termos aditivos, ou Registro Comercial, no caso de empresa individual, a fim de que seja comprovada a aptidão para a formulação de propostas e a prática de os demais atos inerentes  ao procedimento de licitação. Na mesma oportunidade deve ser apresentada documento de identidade original ou cópia para ser autenticada do documento de identidade do representante.</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5.3</w:t>
        <w:tab/>
        <w:t>- A representação também poderá ser feita por credenciado constituído por procuração pública ou particular, que comprove a outorga de poderes necessários para a formulação de propostas e a prática de os demais atos inerentes ao procedimento de licitação. Na mesma oportunidade deverão ser apresentadas cópias autenticadas dos documentos de identidade do credenciado e do outorgante da procuração, assim como o original ou cópia autenticada do Estatuto ou Contrato Social e seus termos aditivos, ou Registro Comercial, no caso de empresa individual.</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5.4</w:t>
        <w:tab/>
        <w:t>- O representante a ser credenciado deverá ser distinto e único para cada empresa licitante.</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5.5</w:t>
        <w:tab/>
        <w:t>- Na fase de credenciamento as empresas licitantes deverão apresentar o TERMO DE CREDENCIAMENTO - ANEXO 2 (MODELO) ou instrumento procuratório.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5.6</w:t>
        <w:tab/>
        <w:t>- A licitante enquadrada como Microempresa (ME) ou Empresa de Pequeno Porte (EPP) que desejar obter os tratamentos previstos na Lei Complementar nº 123/2006 deverá apresentar a DECLARAÇÃO DE MICROEMPRESA E EMPRESA DE PEQUENO PORTE - ANEXO 3 (MODELO), quando do seu credenciamento,  como  também  apresentar  no  mesmo  momento  a  CERTIDÃO  EXPEDIDA  PELA JUNTA COMERCIAL, seguindo o delineamento do art. 8º da Instrução Normativa nº 103/2007 do Departamento Nacional de Registro do Comércio.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5.7</w:t>
        <w:tab/>
        <w:t>- Caso a licitante enquadrada como Microempresa (ME) ou Empresa de Pequeno Porte (EPP) seja optante pelo Sistema Simples Nacional de Tributação, regido pela Lei Complementar nº 123/2006, deverá apresentar também o comprovante de opção obtido no site do Ministério da Fazenda (http://www8.receita.fazenda.gov.br/SimplesNacional).</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5.8</w:t>
        <w:tab/>
        <w:t>- A apresentação no CREDENCIAMENTO do Estatuto ou Contrato Social e seus termos aditivos; Registro Comercial, devidamente autenticado ou os documentos contábeis inseridos no item 9.4;9.5 e 9.6,  isenta a licitante de juntá-los no ENVELOPE 2 – DOCUMENTOS DE HABILITAÇÃO.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5.9</w:t>
        <w:tab/>
        <w:t>- A empresa licitante que apresentar declaração falsa responderá por seus atos na esfera civil, penal e administrativa.</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VI</w:t>
        <w:tab/>
        <w:t>- APRESENTAÇÃO DA PROPOSTA DE PREÇO E DOS DOCUMENTOS DE HABILITAÇÃO</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6.1</w:t>
        <w:tab/>
        <w:t>- A Proposta de Preço e os Documentos de Habilitação deverão ser apresentados no dia e hora previamente estabelecidos para o início da sessão pública do Pregão, em envelopes distintos, lacrados e indevassáveis, sob pena de desclassificação, contendo em sua parte externa, as seguintes informações:</w:t>
      </w:r>
    </w:p>
    <w:p>
      <w:pPr>
        <w:pStyle w:val="Normal"/>
        <w:jc w:val="both"/>
        <w:rPr>
          <w:rFonts w:ascii="Verdana" w:hAnsi="Verdana"/>
          <w:szCs w:val="24"/>
        </w:rPr>
      </w:pPr>
      <w:r>
        <w:rPr>
          <w:rFonts w:ascii="Verdana" w:hAnsi="Verdana"/>
          <w:szCs w:val="24"/>
        </w:rPr>
      </w:r>
    </w:p>
    <w:p>
      <w:pPr>
        <w:pStyle w:val="ListParagraph"/>
        <w:numPr>
          <w:ilvl w:val="0"/>
          <w:numId w:val="1"/>
        </w:numPr>
        <w:jc w:val="both"/>
        <w:rPr>
          <w:rFonts w:ascii="Verdana" w:hAnsi="Verdana"/>
          <w:szCs w:val="24"/>
        </w:rPr>
      </w:pPr>
      <w:r>
        <w:rPr>
          <w:rFonts w:ascii="Verdana" w:hAnsi="Verdana"/>
          <w:szCs w:val="24"/>
        </w:rPr>
        <w:t>Nº do pregão</w:t>
      </w:r>
    </w:p>
    <w:p>
      <w:pPr>
        <w:pStyle w:val="ListParagraph"/>
        <w:numPr>
          <w:ilvl w:val="0"/>
          <w:numId w:val="1"/>
        </w:numPr>
        <w:jc w:val="both"/>
        <w:rPr>
          <w:rFonts w:ascii="Verdana" w:hAnsi="Verdana"/>
          <w:szCs w:val="24"/>
        </w:rPr>
      </w:pPr>
      <w:r>
        <w:rPr>
          <w:rFonts w:ascii="Verdana" w:hAnsi="Verdana"/>
          <w:szCs w:val="24"/>
        </w:rPr>
        <w:t>Data e hora da abertura</w:t>
      </w:r>
    </w:p>
    <w:p>
      <w:pPr>
        <w:pStyle w:val="ListParagraph"/>
        <w:numPr>
          <w:ilvl w:val="0"/>
          <w:numId w:val="1"/>
        </w:numPr>
        <w:jc w:val="both"/>
        <w:rPr/>
      </w:pPr>
      <w:r>
        <w:rPr>
          <w:rFonts w:ascii="Verdana" w:hAnsi="Verdana"/>
          <w:szCs w:val="24"/>
        </w:rPr>
        <w:t>Identificação do licitante (nome e CNPJ)</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6.2</w:t>
        <w:tab/>
        <w:t xml:space="preserve">- Não serão aceitos os envelopes de Proposta de Preço e Documentos de Habilitação enviados por correio, deixados na CMCI ou protocolados e entregues a Pregoeira depois do horário da abertura do certame. </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VII</w:t>
        <w:tab/>
        <w:t>- PROPOSTA DE PREÇO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7.1 - A proposta deverá atender aos seguintes requisitos: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a)</w:t>
        <w:tab/>
        <w:t>ser datilografada, digitada ou em letra de forma, preferencialmente em papel timbrado da empresa, sem emendas, rasuras e entrelinhas, com todos os valores propostos expressos, com duas casas decimais, obrigatoriamente em real, contendo data, assinatura do representante legal e rubrica em todas as folhas;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b)</w:t>
        <w:tab/>
        <w:t>deve informar a razão social, número do CNPJ, endereço completo da empresa licitante, telefone e e-mail;</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c)</w:t>
        <w:tab/>
        <w:t>deve conter de forma separada na proposta o preço unitário, total e a indicação de marca, sob pena de desclassificação imediata;</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d)</w:t>
        <w:tab/>
        <w:t>devem estar incluídos nos preços propostos todas as despesas e custos, como transporte, frete, tributos de qualquer natureza e todas as despesas diretas ou indiretas relacionadas com o objeto da licitação;</w:t>
      </w:r>
    </w:p>
    <w:p>
      <w:pPr>
        <w:pStyle w:val="Normal"/>
        <w:ind w:firstLine="708"/>
        <w:jc w:val="both"/>
        <w:rPr>
          <w:rFonts w:ascii="Verdana" w:hAnsi="Verdana"/>
          <w:szCs w:val="24"/>
        </w:rPr>
      </w:pPr>
      <w:r>
        <w:rPr>
          <w:rFonts w:ascii="Verdana" w:hAnsi="Verdana"/>
          <w:szCs w:val="24"/>
        </w:rPr>
      </w:r>
    </w:p>
    <w:p>
      <w:pPr>
        <w:pStyle w:val="ListParagraph"/>
        <w:numPr>
          <w:ilvl w:val="0"/>
          <w:numId w:val="1"/>
        </w:numPr>
        <w:jc w:val="both"/>
        <w:rPr>
          <w:rFonts w:ascii="Verdana" w:hAnsi="Verdana"/>
          <w:szCs w:val="24"/>
        </w:rPr>
      </w:pPr>
      <w:r>
        <w:rPr>
          <w:rFonts w:ascii="Verdana" w:hAnsi="Verdana"/>
          <w:szCs w:val="24"/>
        </w:rPr>
        <w:t>deve informar a validade da proposta, que não poderá ser inferior a 60 (sessenta) dias, a contar da data de realização da sessão pública do Pregão.</w:t>
      </w:r>
    </w:p>
    <w:p>
      <w:pPr>
        <w:pStyle w:val="ListParagraph"/>
        <w:ind w:left="1068" w:hanging="0"/>
        <w:jc w:val="both"/>
        <w:rPr>
          <w:rFonts w:ascii="Verdana" w:hAnsi="Verdana"/>
          <w:szCs w:val="24"/>
        </w:rPr>
      </w:pPr>
      <w:r>
        <w:rPr>
          <w:rFonts w:ascii="Verdana" w:hAnsi="Verdana"/>
          <w:szCs w:val="24"/>
        </w:rPr>
      </w:r>
    </w:p>
    <w:p>
      <w:pPr>
        <w:pStyle w:val="Normal"/>
        <w:ind w:firstLine="708"/>
        <w:jc w:val="both"/>
        <w:rPr/>
      </w:pPr>
      <w:r>
        <w:rPr>
          <w:rFonts w:ascii="Verdana" w:hAnsi="Verdana"/>
          <w:szCs w:val="24"/>
        </w:rPr>
        <w:t>7.2</w:t>
        <w:tab/>
        <w:t>- Ocorrendo diferença entre os preços unitário e total, prevalecerão sempre os últimos, devendo a Pregoeira proceder às correções necessárias. No caso de divergência entre os valores em algarismos e por extenso, prevalecerão os últimos.</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7.3</w:t>
        <w:tab/>
        <w:t>- Cada licitante somente poderá apresentar uma proposta de preço. Caso a licitante apresente mais de uma proposta, a Pregoeira considerará àquela mais vantajosa para a Administração Pública.</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7.4</w:t>
        <w:tab/>
        <w:t>- O preço ofertado na proposta ou em cada lance será de exclusiva e total responsabilidade da empresa licitante, não podendo ser alterado após a sua manifestação, com exceção da negociação constante no art. 4º, XVII da Lei nº 10.520/2002.</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7.5</w:t>
        <w:tab/>
        <w:t>- A simples apresentação da proposta de preço implica na aceitação integral de todas as condições estabelecidas neste edital, obrigando-se a licitante ao cumprimento de todas as exigências nele contidas.</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7.6</w:t>
        <w:tab/>
        <w:t>- A proposta de preço deverá descrever o objeto ofertado, trazendo a indicação da marca, conforme as especificações e condições contidas no TERMO DE REFERÊNCIA - ANEXO 1, evitando sinônimos técnicos, omissões ou acréscimos referentes à especificação do objeto.</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7.7</w:t>
        <w:tab/>
        <w:t>- A empresa vencedora do Pregão deverá encaminhar ao Pregoeiro até as 18:00 h do dia útil seguinte ao encerramento da Sessão Pública de disputa a proposta de preço atualizada, que reflita o valor vencedor na sessão pública.</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7.8</w:t>
        <w:tab/>
        <w:t>- Serão desclassificadas as propostas que:</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a)</w:t>
        <w:tab/>
        <w:t>não atenderem as disposições contidas neste edital;</w:t>
      </w:r>
    </w:p>
    <w:p>
      <w:pPr>
        <w:pStyle w:val="Normal"/>
        <w:ind w:firstLine="708"/>
        <w:jc w:val="both"/>
        <w:rPr>
          <w:rFonts w:ascii="Verdana" w:hAnsi="Verdana"/>
          <w:szCs w:val="24"/>
        </w:rPr>
      </w:pPr>
      <w:r>
        <w:rPr>
          <w:rFonts w:ascii="Verdana" w:hAnsi="Verdana"/>
          <w:szCs w:val="24"/>
        </w:rPr>
        <w:t>b)</w:t>
        <w:tab/>
        <w:t>apresentarem vantagens baseadas nas ofertas dos demais licitantes;</w:t>
      </w:r>
    </w:p>
    <w:p>
      <w:pPr>
        <w:pStyle w:val="Normal"/>
        <w:ind w:firstLine="708"/>
        <w:rPr>
          <w:rFonts w:ascii="Verdana" w:hAnsi="Verdana"/>
          <w:szCs w:val="24"/>
        </w:rPr>
      </w:pPr>
      <w:r>
        <w:rPr>
          <w:rFonts w:ascii="Verdana" w:hAnsi="Verdana"/>
          <w:szCs w:val="24"/>
        </w:rPr>
        <w:t>c)</w:t>
        <w:tab/>
        <w:t>apresentarem preços incompatíveis com os praticados no mercado;</w:t>
      </w:r>
    </w:p>
    <w:p>
      <w:pPr>
        <w:pStyle w:val="Normal"/>
        <w:ind w:firstLine="708"/>
        <w:rPr>
          <w:rFonts w:ascii="Verdana" w:hAnsi="Verdana"/>
          <w:szCs w:val="24"/>
        </w:rPr>
      </w:pPr>
      <w:r>
        <w:rPr>
          <w:rFonts w:ascii="Verdana" w:hAnsi="Verdana"/>
          <w:szCs w:val="24"/>
        </w:rPr>
      </w:r>
    </w:p>
    <w:p>
      <w:pPr>
        <w:pStyle w:val="Normal"/>
        <w:jc w:val="center"/>
        <w:rPr>
          <w:rFonts w:ascii="Arial" w:hAnsi="Arial" w:cs="Arial"/>
          <w:b/>
          <w:b/>
          <w:bCs/>
          <w:color w:val="000000"/>
        </w:rPr>
      </w:pPr>
      <w:r>
        <w:rPr>
          <w:rFonts w:cs="Arial" w:ascii="Arial" w:hAnsi="Arial"/>
          <w:b/>
          <w:bCs/>
          <w:color w:val="000000"/>
        </w:rPr>
        <w:t>MATERIAL DE GRÁFICA</w:t>
      </w:r>
    </w:p>
    <w:p>
      <w:pPr>
        <w:pStyle w:val="Normal"/>
        <w:jc w:val="center"/>
        <w:rPr>
          <w:rFonts w:ascii="Arial" w:hAnsi="Arial" w:cs="Arial"/>
          <w:b/>
          <w:b/>
          <w:bCs/>
          <w:color w:val="000000"/>
        </w:rPr>
      </w:pPr>
      <w:r>
        <w:rPr>
          <w:rFonts w:cs="Arial" w:ascii="Arial" w:hAnsi="Arial"/>
          <w:b/>
          <w:bCs/>
          <w:color w:val="000000"/>
        </w:rPr>
        <w:t>LOTE I</w:t>
      </w:r>
    </w:p>
    <w:tbl>
      <w:tblPr>
        <w:tblW w:w="9400" w:type="dxa"/>
        <w:jc w:val="center"/>
        <w:tblInd w:w="0" w:type="dxa"/>
        <w:tblBorders/>
        <w:tblCellMar>
          <w:top w:w="0" w:type="dxa"/>
          <w:left w:w="70" w:type="dxa"/>
          <w:bottom w:w="0" w:type="dxa"/>
          <w:right w:w="70" w:type="dxa"/>
        </w:tblCellMar>
        <w:tblLook w:firstRow="0" w:noVBand="0" w:lastRow="0" w:firstColumn="0" w:lastColumn="0" w:noHBand="0" w:val="0000"/>
      </w:tblPr>
      <w:tblGrid>
        <w:gridCol w:w="840"/>
        <w:gridCol w:w="6089"/>
        <w:gridCol w:w="1155"/>
        <w:gridCol w:w="1315"/>
      </w:tblGrid>
      <w:tr>
        <w:trPr>
          <w:trHeight w:val="255" w:hRule="atLeast"/>
        </w:trPr>
        <w:tc>
          <w:tcPr>
            <w:tcW w:w="840" w:type="dxa"/>
            <w:tcBorders/>
            <w:shd w:fill="auto" w:val="clear"/>
            <w:vAlign w:val="bottom"/>
          </w:tcPr>
          <w:p>
            <w:pPr>
              <w:pStyle w:val="Normal"/>
              <w:snapToGrid w:val="false"/>
              <w:spacing w:before="0" w:after="160"/>
              <w:rPr>
                <w:rFonts w:ascii="Arial" w:hAnsi="Arial" w:cs="Arial"/>
                <w:sz w:val="20"/>
                <w:szCs w:val="20"/>
              </w:rPr>
            </w:pPr>
            <w:r>
              <w:rPr>
                <w:rFonts w:cs="Arial" w:ascii="Arial" w:hAnsi="Arial"/>
                <w:sz w:val="20"/>
                <w:szCs w:val="20"/>
              </w:rPr>
            </w:r>
          </w:p>
        </w:tc>
        <w:tc>
          <w:tcPr>
            <w:tcW w:w="6089" w:type="dxa"/>
            <w:tcBorders/>
            <w:shd w:fill="auto" w:val="clear"/>
            <w:vAlign w:val="bottom"/>
          </w:tcPr>
          <w:p>
            <w:pPr>
              <w:pStyle w:val="Normal"/>
              <w:snapToGrid w:val="false"/>
              <w:spacing w:before="0" w:after="160"/>
              <w:rPr>
                <w:rFonts w:ascii="Arial" w:hAnsi="Arial" w:cs="Arial"/>
                <w:sz w:val="20"/>
                <w:szCs w:val="20"/>
              </w:rPr>
            </w:pPr>
            <w:r>
              <w:rPr>
                <w:rFonts w:cs="Arial" w:ascii="Arial" w:hAnsi="Arial"/>
                <w:sz w:val="20"/>
                <w:szCs w:val="20"/>
              </w:rPr>
            </w:r>
          </w:p>
        </w:tc>
        <w:tc>
          <w:tcPr>
            <w:tcW w:w="1155" w:type="dxa"/>
            <w:tcBorders/>
            <w:shd w:fill="auto" w:val="clear"/>
            <w:vAlign w:val="bottom"/>
          </w:tcPr>
          <w:p>
            <w:pPr>
              <w:pStyle w:val="Normal"/>
              <w:snapToGrid w:val="false"/>
              <w:spacing w:before="0" w:after="160"/>
              <w:rPr>
                <w:rFonts w:ascii="Arial" w:hAnsi="Arial" w:cs="Arial"/>
                <w:sz w:val="20"/>
                <w:szCs w:val="20"/>
              </w:rPr>
            </w:pPr>
            <w:r>
              <w:rPr>
                <w:rFonts w:cs="Arial" w:ascii="Arial" w:hAnsi="Arial"/>
                <w:sz w:val="20"/>
                <w:szCs w:val="20"/>
              </w:rPr>
            </w:r>
          </w:p>
        </w:tc>
        <w:tc>
          <w:tcPr>
            <w:tcW w:w="1315" w:type="dxa"/>
            <w:tcBorders/>
            <w:shd w:fill="auto" w:val="clear"/>
            <w:vAlign w:val="bottom"/>
          </w:tcPr>
          <w:p>
            <w:pPr>
              <w:pStyle w:val="Normal"/>
              <w:snapToGrid w:val="false"/>
              <w:spacing w:before="0" w:after="160"/>
              <w:rPr>
                <w:rFonts w:ascii="Arial" w:hAnsi="Arial" w:cs="Arial"/>
                <w:sz w:val="20"/>
                <w:szCs w:val="20"/>
              </w:rPr>
            </w:pPr>
            <w:r>
              <w:rPr>
                <w:rFonts w:cs="Arial" w:ascii="Arial" w:hAnsi="Arial"/>
                <w:sz w:val="20"/>
                <w:szCs w:val="20"/>
              </w:rPr>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color w:val="000000"/>
                <w:sz w:val="21"/>
                <w:szCs w:val="21"/>
              </w:rPr>
              <w:t>ITENS</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b/>
                <w:b/>
                <w:color w:val="000000"/>
                <w:sz w:val="21"/>
                <w:szCs w:val="21"/>
              </w:rPr>
            </w:pPr>
            <w:r>
              <w:rPr>
                <w:rFonts w:cs="Arial" w:ascii="Arial" w:hAnsi="Arial"/>
                <w:b/>
                <w:color w:val="000000"/>
                <w:sz w:val="21"/>
                <w:szCs w:val="21"/>
              </w:rPr>
              <w:t>DESCRIÇÃO DO OBJETO</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QTDE</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1</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b/>
                <w:color w:val="000000"/>
                <w:sz w:val="21"/>
                <w:szCs w:val="21"/>
              </w:rPr>
              <w:t>Envelope 18x24 timbrado</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1.500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r>
      <w:tr>
        <w:trPr>
          <w:trHeight w:val="94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2</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b/>
                <w:color w:val="000000"/>
                <w:sz w:val="21"/>
                <w:szCs w:val="21"/>
              </w:rPr>
              <w:t>Envelope 11x23 timbrado</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1.000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3</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b/>
                <w:color w:val="000000"/>
                <w:sz w:val="21"/>
                <w:szCs w:val="21"/>
              </w:rPr>
              <w:t>Capas de processo tesouraria</w:t>
            </w:r>
            <w:r>
              <w:rPr>
                <w:rFonts w:cs="Arial" w:ascii="Arial" w:hAnsi="Arial"/>
                <w:color w:val="000000"/>
                <w:sz w:val="21"/>
                <w:szCs w:val="21"/>
              </w:rPr>
              <w:t xml:space="preserve">, </w:t>
            </w:r>
            <w:r>
              <w:rPr>
                <w:rFonts w:cs="Arial" w:ascii="Arial" w:hAnsi="Arial"/>
                <w:b/>
                <w:bCs/>
                <w:color w:val="000000"/>
                <w:sz w:val="21"/>
                <w:szCs w:val="21"/>
              </w:rPr>
              <w:t>com trilho de metal incluso</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1.000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4</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b/>
                <w:color w:val="000000"/>
                <w:sz w:val="21"/>
                <w:szCs w:val="21"/>
              </w:rPr>
              <w:t>Capas de processo amarela</w:t>
            </w:r>
            <w:r>
              <w:rPr>
                <w:rFonts w:cs="Arial" w:ascii="Arial" w:hAnsi="Arial"/>
                <w:color w:val="000000"/>
                <w:sz w:val="21"/>
                <w:szCs w:val="21"/>
              </w:rPr>
              <w:t>,</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500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5</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b/>
                <w:color w:val="000000"/>
                <w:sz w:val="21"/>
                <w:szCs w:val="21"/>
              </w:rPr>
              <w:t>Capas de processo azul</w:t>
            </w:r>
            <w:r>
              <w:rPr>
                <w:rFonts w:cs="Arial" w:ascii="Arial" w:hAnsi="Arial"/>
                <w:color w:val="000000"/>
                <w:sz w:val="21"/>
                <w:szCs w:val="21"/>
              </w:rPr>
              <w:t xml:space="preserve">, </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500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t>6</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b/>
                <w:b/>
                <w:bCs/>
                <w:sz w:val="21"/>
                <w:szCs w:val="21"/>
              </w:rPr>
            </w:pPr>
            <w:r>
              <w:rPr>
                <w:rFonts w:ascii="Arial" w:hAnsi="Arial"/>
                <w:b/>
                <w:bCs/>
                <w:sz w:val="21"/>
                <w:szCs w:val="21"/>
              </w:rPr>
              <w:t>Pasta do Cerimonial</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t>1.000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pPr>
            <w:r>
              <w:rPr/>
              <w:t>und</w:t>
            </w:r>
          </w:p>
        </w:tc>
      </w:tr>
      <w:tr>
        <w:trPr>
          <w:trHeight w:val="31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7</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b/>
                <w:color w:val="000000"/>
                <w:sz w:val="21"/>
                <w:szCs w:val="21"/>
              </w:rPr>
              <w:t>Capas de processo verde</w:t>
            </w:r>
            <w:r>
              <w:rPr>
                <w:rFonts w:cs="Arial" w:ascii="Arial" w:hAnsi="Arial"/>
                <w:color w:val="000000"/>
                <w:sz w:val="21"/>
                <w:szCs w:val="21"/>
              </w:rPr>
              <w:t xml:space="preserve">, </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1.000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r>
      <w:tr>
        <w:trPr>
          <w:trHeight w:val="31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8</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pPr>
            <w:r>
              <w:rPr>
                <w:rFonts w:cs="Arial" w:ascii="Arial" w:hAnsi="Arial"/>
                <w:b/>
                <w:color w:val="000000"/>
                <w:sz w:val="21"/>
                <w:szCs w:val="21"/>
              </w:rPr>
              <w:t>Bloco folha timbrada</w:t>
            </w:r>
            <w:r>
              <w:rPr>
                <w:rFonts w:cs="Arial" w:ascii="Arial" w:hAnsi="Arial"/>
                <w:color w:val="000000"/>
                <w:sz w:val="21"/>
                <w:szCs w:val="21"/>
              </w:rPr>
              <w:t xml:space="preserve">  - </w:t>
            </w:r>
            <w:r>
              <w:rPr>
                <w:rFonts w:cs="Arial" w:ascii="Arial" w:hAnsi="Arial"/>
                <w:b/>
                <w:bCs/>
                <w:color w:val="000000"/>
                <w:sz w:val="21"/>
                <w:szCs w:val="21"/>
              </w:rPr>
              <w:t>50 folhas</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100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r>
    </w:tbl>
    <w:p>
      <w:pPr>
        <w:pStyle w:val="Normal"/>
        <w:rPr>
          <w:rFonts w:ascii="Arial" w:hAnsi="Arial" w:cs="Arial"/>
          <w:b/>
          <w:b/>
          <w:bCs/>
          <w:color w:val="000000"/>
        </w:rPr>
      </w:pPr>
      <w:r>
        <w:rPr>
          <w:rFonts w:cs="Arial" w:ascii="Arial" w:hAnsi="Arial"/>
          <w:b/>
          <w:bCs/>
          <w:color w:val="000000"/>
        </w:rPr>
      </w:r>
    </w:p>
    <w:p>
      <w:pPr>
        <w:pStyle w:val="Normal"/>
        <w:jc w:val="center"/>
        <w:rPr>
          <w:rFonts w:ascii="Arial" w:hAnsi="Arial" w:cs="Arial"/>
          <w:b/>
          <w:b/>
          <w:bCs/>
          <w:color w:val="000000"/>
        </w:rPr>
      </w:pPr>
      <w:r>
        <w:rPr>
          <w:rFonts w:cs="Arial" w:ascii="Arial" w:hAnsi="Arial"/>
          <w:b/>
          <w:bCs/>
          <w:color w:val="000000"/>
        </w:rPr>
      </w:r>
    </w:p>
    <w:p>
      <w:pPr>
        <w:pStyle w:val="Normal"/>
        <w:ind w:firstLine="708"/>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OBS 1: O material estará disponível no setor de Almoxarifado para eventual análise dos interessados e posteriormente será entregue uma amostra de cada item para o licitante vencedor.</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OBS 2: Não haverá impedimento nas variações quanto ao quantitativo unitário do produto, desde que o setor responsável pela elaboração do termo de referência consinta em razão das necessidades técnicas exigidas, e, desde que respeitado o quantitativo final.</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VIII</w:t>
        <w:tab/>
        <w:t>- PROCEDIMENTOS DE JULGAMENTO</w:t>
      </w:r>
    </w:p>
    <w:p>
      <w:pPr>
        <w:pStyle w:val="Normal"/>
        <w:jc w:val="both"/>
        <w:rPr>
          <w:rFonts w:ascii="Verdana" w:hAnsi="Verdana"/>
          <w:szCs w:val="24"/>
        </w:rPr>
      </w:pPr>
      <w:r>
        <w:rPr>
          <w:rFonts w:ascii="Verdana" w:hAnsi="Verdana"/>
          <w:szCs w:val="24"/>
        </w:rPr>
      </w:r>
    </w:p>
    <w:p>
      <w:pPr>
        <w:pStyle w:val="Normal"/>
        <w:ind w:firstLine="708"/>
        <w:jc w:val="both"/>
        <w:rPr/>
      </w:pPr>
      <w:r>
        <w:rPr>
          <w:rFonts w:ascii="Verdana" w:hAnsi="Verdana"/>
          <w:szCs w:val="24"/>
        </w:rPr>
        <w:t>8.1 - Após a abertura da sessão pública pela Pregoeira, não serão admitidos novos licitantes.</w:t>
      </w:r>
    </w:p>
    <w:p>
      <w:pPr>
        <w:pStyle w:val="Normal"/>
        <w:ind w:firstLine="708"/>
        <w:jc w:val="both"/>
        <w:rPr>
          <w:rFonts w:ascii="Verdana" w:hAnsi="Verdana"/>
          <w:szCs w:val="24"/>
        </w:rPr>
      </w:pPr>
      <w:r>
        <w:rPr>
          <w:rFonts w:ascii="Verdana" w:hAnsi="Verdana"/>
          <w:szCs w:val="24"/>
        </w:rPr>
        <w:t>8. 2 - Para o julgamento das propostas será adotado o critério do MENOR PREÇO POR LOTE.</w:t>
      </w:r>
    </w:p>
    <w:p>
      <w:pPr>
        <w:pStyle w:val="Normal"/>
        <w:ind w:firstLine="708"/>
        <w:jc w:val="both"/>
        <w:rPr>
          <w:rFonts w:ascii="Verdana" w:hAnsi="Verdana"/>
          <w:szCs w:val="24"/>
        </w:rPr>
      </w:pPr>
      <w:r>
        <w:rPr>
          <w:rFonts w:ascii="Verdana" w:hAnsi="Verdana"/>
          <w:szCs w:val="24"/>
        </w:rPr>
        <w:t>8.3</w:t>
        <w:tab/>
        <w:t>- O procedimento do julgamento compreenderá a abertura dos respectivos envelopes, a leitura das propostas de preço, a verificação da conformidade das mesmas com os requisitos estabelecidos no edital e seus anexos, identificando as propostas aptas à classificação pelo critério estabelecido no item acima.</w:t>
      </w:r>
    </w:p>
    <w:p>
      <w:pPr>
        <w:pStyle w:val="Normal"/>
        <w:ind w:firstLine="708"/>
        <w:jc w:val="both"/>
        <w:rPr>
          <w:rFonts w:ascii="Verdana" w:hAnsi="Verdana"/>
          <w:szCs w:val="24"/>
        </w:rPr>
      </w:pPr>
      <w:r>
        <w:rPr>
          <w:rFonts w:ascii="Verdana" w:hAnsi="Verdana"/>
          <w:szCs w:val="24"/>
        </w:rPr>
        <w:t xml:space="preserve"> </w:t>
      </w:r>
    </w:p>
    <w:p>
      <w:pPr>
        <w:pStyle w:val="Normal"/>
        <w:ind w:firstLine="708"/>
        <w:jc w:val="both"/>
        <w:rPr/>
      </w:pPr>
      <w:r>
        <w:rPr>
          <w:rFonts w:ascii="Verdana" w:hAnsi="Verdana"/>
          <w:szCs w:val="24"/>
        </w:rPr>
        <w:t>8.4</w:t>
        <w:tab/>
        <w:t>- Na sequência a Pregoeira classificará o autor da proposta de menor preço e aqueles que tenham apresentado propostas em valores sucessivos e superiores em até 10% (dez por cento), relativamente à de menor preço, para participarem da etapa de oferta de lances.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8.5</w:t>
        <w:tab/>
        <w:t>- Não havendo pelo menos três propostas de preços na condição definida acima, os autores das melhores propostas, até o máximo de 3 (três), poderão participar da etapa de oferta de lances.</w:t>
      </w:r>
    </w:p>
    <w:p>
      <w:pPr>
        <w:pStyle w:val="Normal"/>
        <w:ind w:firstLine="708"/>
        <w:rPr>
          <w:rFonts w:ascii="Verdana" w:hAnsi="Verdana"/>
          <w:szCs w:val="24"/>
        </w:rPr>
      </w:pPr>
      <w:r>
        <w:rPr>
          <w:rFonts w:ascii="Verdana" w:hAnsi="Verdana"/>
          <w:szCs w:val="24"/>
        </w:rPr>
      </w:r>
    </w:p>
    <w:p>
      <w:pPr>
        <w:pStyle w:val="Normal"/>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8.6</w:t>
        <w:tab/>
        <w:t>- Na etapa de oferta de lances será concedida às empresas licitantes classificadas a oportunidade para nova disputa, por meio de lances verbais e sucessivos, de valores distintos e decrescentes.</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8.7</w:t>
        <w:tab/>
        <w:t>- A Pregoeira convidará individualmente as empresas licitantes classificadas, de forma sequencial, a apresentar lances verbais, a partir do autor da proposta classificada de maior preço e os demais, em ordem decrescente de valor.</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8.8</w:t>
        <w:tab/>
        <w:t>- Durante a sessão pública a Pregoeira poderá estabelecer regras e prazos razoáveis para o bom andamento do procedimento licitatório.</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8.9</w:t>
        <w:tab/>
        <w:t>- A desistência em apresentar lance verbal, quando convidado pela Pregoeira, implicará na exclusão da empresa licitante da etapa de lances verbais e na manutenção do último preço por ela apresentado, para efeito de ordenação das propostas.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8.10</w:t>
        <w:tab/>
        <w:t>- Não poderá haver desistência ou retratação dos lances ofertados, sujeitando-se a proponente desistente às penalidades previstas em lei e neste edital.</w:t>
      </w:r>
    </w:p>
    <w:p>
      <w:pPr>
        <w:pStyle w:val="Normal"/>
        <w:ind w:firstLine="708"/>
        <w:jc w:val="both"/>
        <w:rPr>
          <w:rFonts w:ascii="Verdana" w:hAnsi="Verdana"/>
          <w:szCs w:val="24"/>
        </w:rPr>
      </w:pPr>
      <w:r>
        <w:rPr>
          <w:rFonts w:ascii="Verdana" w:hAnsi="Verdana"/>
          <w:szCs w:val="24"/>
        </w:rPr>
      </w:r>
    </w:p>
    <w:p>
      <w:pPr>
        <w:pStyle w:val="Normal"/>
        <w:spacing w:before="0" w:after="0"/>
        <w:ind w:firstLine="708"/>
        <w:jc w:val="both"/>
        <w:rPr>
          <w:rFonts w:ascii="Verdana" w:hAnsi="Verdana"/>
          <w:szCs w:val="24"/>
        </w:rPr>
      </w:pPr>
      <w:r>
        <w:rPr>
          <w:rFonts w:ascii="Verdana" w:hAnsi="Verdana"/>
          <w:szCs w:val="24"/>
        </w:rPr>
        <w:t>8.11</w:t>
        <w:tab/>
        <w:t>- Não havendo mais interesse dos licitantes em apresentar lance verbal, será encerrada a etapa competitiva e ordenadas as ofertas, exclusivamente pelo critério de menor preço.</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8.12</w:t>
        <w:tab/>
        <w:t>- Verificando a Pregoeira que os preços apresentados não são compatíveis com os atuais praticados no mercado ou até mesmo propostos em licitações anteriores, poderá negociar o preço com a empresa licitante vencedora, buscando a proposta mais vantajosa para a CMCI.</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8.13</w:t>
        <w:tab/>
        <w:t>- Nas mesmas situações expostas no item acima, a Pregoeira poderá decidir, justificadamente, pela suspensão do Pregão, para melhor avaliação das regras editalícias e aspectos pertinentes ao preço cotado, podendo também optar pela repetição do procedimento.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IX</w:t>
        <w:tab/>
        <w:t>- DOCUMENTOS DE HABILITAÇÃO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9.1</w:t>
        <w:tab/>
        <w:t>- Para promover a habilitação no procedimento, a empresa licitante deverá apresentar os documentos abaixo relacionados.</w:t>
      </w:r>
    </w:p>
    <w:p>
      <w:pPr>
        <w:pStyle w:val="Normal"/>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 xml:space="preserve"> </w:t>
      </w:r>
      <w:r>
        <w:rPr>
          <w:rFonts w:ascii="Verdana" w:hAnsi="Verdana"/>
          <w:szCs w:val="24"/>
        </w:rPr>
        <w:t>9.2</w:t>
        <w:tab/>
        <w:t>- Os documentos exigidos neste edital poderão ser apresentados em original ou por qualquer processo de cópia legível, autenticada por cartório competente, com exceção dos extraídos pela internet, com vigência plena na data fixada para sua apresentação.</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9.3</w:t>
        <w:tab/>
        <w:t>- Serão admitidas fotocópias sem autenticação cartorial, desde que os respectivos originais sejam apresentados a Pregoeira ou à Equipe de Apoio para autenticação, quando da etapa do CREDENCIAMENTO.</w:t>
      </w:r>
    </w:p>
    <w:p>
      <w:pPr>
        <w:pStyle w:val="Normal"/>
        <w:ind w:firstLine="708"/>
        <w:jc w:val="both"/>
        <w:rPr>
          <w:rFonts w:ascii="Verdana" w:hAnsi="Verdana"/>
          <w:szCs w:val="24"/>
        </w:rPr>
      </w:pPr>
      <w:r>
        <w:rPr>
          <w:rFonts w:ascii="Verdana" w:hAnsi="Verdana"/>
          <w:szCs w:val="24"/>
        </w:rPr>
      </w:r>
    </w:p>
    <w:p>
      <w:pPr>
        <w:pStyle w:val="ListParagraph"/>
        <w:numPr>
          <w:ilvl w:val="1"/>
          <w:numId w:val="2"/>
        </w:numPr>
        <w:jc w:val="both"/>
        <w:rPr>
          <w:rFonts w:ascii="Verdana" w:hAnsi="Verdana"/>
          <w:szCs w:val="24"/>
        </w:rPr>
      </w:pPr>
      <w:r>
        <w:rPr>
          <w:rFonts w:ascii="Verdana" w:hAnsi="Verdana"/>
          <w:szCs w:val="24"/>
        </w:rPr>
        <w:t xml:space="preserve">- </w:t>
      </w:r>
      <w:r>
        <w:rPr>
          <w:rFonts w:ascii="Verdana" w:hAnsi="Verdana"/>
          <w:b/>
          <w:bCs/>
          <w:szCs w:val="24"/>
        </w:rPr>
        <w:t>HABILITAÇÃO JURÍDICA</w:t>
      </w:r>
      <w:r>
        <w:rPr>
          <w:rFonts w:ascii="Verdana" w:hAnsi="Verdana"/>
          <w:szCs w:val="24"/>
        </w:rPr>
        <w:t>:</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9.4.1</w:t>
        <w:tab/>
        <w:t>Registro comercial, no caso de empresa individual;</w:t>
      </w:r>
    </w:p>
    <w:p>
      <w:pPr>
        <w:pStyle w:val="Normal"/>
        <w:ind w:firstLine="708"/>
        <w:jc w:val="both"/>
        <w:rPr>
          <w:rFonts w:ascii="Verdana" w:hAnsi="Verdana"/>
          <w:szCs w:val="24"/>
        </w:rPr>
      </w:pPr>
      <w:r>
        <w:rPr>
          <w:rFonts w:ascii="Verdana" w:hAnsi="Verdana"/>
          <w:szCs w:val="24"/>
        </w:rPr>
        <w:t xml:space="preserve">9.4.2 </w:t>
        <w:tab/>
        <w:t>Ato constitutivo, estatuto ou contrato social em vigor, devidamente registrado e suas alterações (ou última alteração consolidada), em se tratando de sociedade comercial e, no caso de sociedade por ações, acompanhado do documento de eleição de seus administradores;</w:t>
      </w:r>
    </w:p>
    <w:p>
      <w:pPr>
        <w:pStyle w:val="Normal"/>
        <w:ind w:firstLine="708"/>
        <w:jc w:val="both"/>
        <w:rPr>
          <w:rFonts w:ascii="Verdana" w:hAnsi="Verdana"/>
          <w:szCs w:val="24"/>
        </w:rPr>
      </w:pPr>
      <w:r>
        <w:rPr>
          <w:rFonts w:ascii="Verdana" w:hAnsi="Verdana"/>
          <w:szCs w:val="24"/>
        </w:rPr>
        <w:t>9.4.3. Inscrição do ato constitutivo, no caso de sociedade civil, acompanhada de prova da diretoria em exercício;</w:t>
      </w:r>
    </w:p>
    <w:p>
      <w:pPr>
        <w:pStyle w:val="Normal"/>
        <w:ind w:firstLine="708"/>
        <w:jc w:val="both"/>
        <w:rPr>
          <w:rFonts w:ascii="Verdana" w:hAnsi="Verdana"/>
          <w:szCs w:val="24"/>
        </w:rPr>
      </w:pPr>
      <w:r>
        <w:rPr>
          <w:rFonts w:ascii="Verdana" w:hAnsi="Verdana"/>
          <w:szCs w:val="24"/>
        </w:rPr>
        <w:t>9.4.4 Decreto de autorização, em se tratando de empresa ou sociedade estrangeira em funcionamento expedido no país.</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b/>
          <w:bCs/>
          <w:szCs w:val="24"/>
        </w:rPr>
        <w:t>9.5</w:t>
      </w:r>
      <w:r>
        <w:rPr>
          <w:rFonts w:ascii="Verdana" w:hAnsi="Verdana"/>
          <w:szCs w:val="24"/>
        </w:rPr>
        <w:tab/>
        <w:t xml:space="preserve">- </w:t>
      </w:r>
      <w:r>
        <w:rPr>
          <w:rFonts w:ascii="Verdana" w:hAnsi="Verdana"/>
          <w:b/>
          <w:bCs/>
          <w:szCs w:val="24"/>
        </w:rPr>
        <w:t>REGULARIDADE FISCAL E TRABALHISTA:</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9.5.1</w:t>
        <w:tab/>
        <w:t>Prova de inscrição no Cadastro Nacional de Pessoa Jurídica - CNPJ;</w:t>
      </w:r>
    </w:p>
    <w:p>
      <w:pPr>
        <w:pStyle w:val="Normal"/>
        <w:ind w:firstLine="708"/>
        <w:jc w:val="both"/>
        <w:rPr>
          <w:rFonts w:ascii="Verdana" w:hAnsi="Verdana"/>
          <w:szCs w:val="24"/>
        </w:rPr>
      </w:pPr>
      <w:r>
        <w:rPr>
          <w:rFonts w:ascii="Verdana" w:hAnsi="Verdana"/>
          <w:szCs w:val="24"/>
        </w:rPr>
        <w:t xml:space="preserve">9.5.2 </w:t>
        <w:tab/>
        <w:t>Prova de regularidade de Tributos Federais e Divida Ativa da União - Certidão Conjunta PGFN e RFB;</w:t>
      </w:r>
    </w:p>
    <w:p>
      <w:pPr>
        <w:pStyle w:val="Normal"/>
        <w:ind w:firstLine="708"/>
        <w:jc w:val="both"/>
        <w:rPr>
          <w:rFonts w:ascii="Verdana" w:hAnsi="Verdana"/>
          <w:szCs w:val="24"/>
        </w:rPr>
      </w:pPr>
      <w:r>
        <w:rPr>
          <w:rFonts w:ascii="Verdana" w:hAnsi="Verdana"/>
          <w:szCs w:val="24"/>
        </w:rPr>
        <w:t xml:space="preserve">9.5.3 </w:t>
        <w:tab/>
        <w:t>Prova de regularidade com a Fazenda Pública do Estado onde for sediada a empresa;</w:t>
      </w:r>
    </w:p>
    <w:p>
      <w:pPr>
        <w:pStyle w:val="Normal"/>
        <w:ind w:firstLine="708"/>
        <w:jc w:val="both"/>
        <w:rPr>
          <w:rFonts w:ascii="Verdana" w:hAnsi="Verdana"/>
          <w:szCs w:val="24"/>
        </w:rPr>
      </w:pPr>
      <w:r>
        <w:rPr>
          <w:rFonts w:ascii="Verdana" w:hAnsi="Verdana"/>
          <w:szCs w:val="24"/>
        </w:rPr>
        <w:t>9.5.4</w:t>
        <w:tab/>
        <w:t>Prova de regularidade com a Fazenda Pública do Município onde for sediada a empresa;</w:t>
      </w:r>
    </w:p>
    <w:p>
      <w:pPr>
        <w:pStyle w:val="ListParagraph"/>
        <w:numPr>
          <w:ilvl w:val="2"/>
          <w:numId w:val="3"/>
        </w:numPr>
        <w:jc w:val="both"/>
        <w:rPr>
          <w:rFonts w:ascii="Verdana" w:hAnsi="Verdana"/>
          <w:szCs w:val="24"/>
        </w:rPr>
      </w:pPr>
      <w:r>
        <w:rPr>
          <w:rFonts w:ascii="Verdana" w:hAnsi="Verdana"/>
          <w:szCs w:val="24"/>
        </w:rPr>
        <w:t>Prova de regularidade com o Fundo de Garantia por Tempo de Serviço - FGTS;</w:t>
      </w:r>
    </w:p>
    <w:p>
      <w:pPr>
        <w:pStyle w:val="ListParagraph"/>
        <w:numPr>
          <w:ilvl w:val="2"/>
          <w:numId w:val="3"/>
        </w:numPr>
        <w:jc w:val="both"/>
        <w:rPr>
          <w:rFonts w:ascii="Verdana" w:hAnsi="Verdana"/>
          <w:szCs w:val="24"/>
        </w:rPr>
      </w:pPr>
      <w:r>
        <w:rPr>
          <w:rFonts w:ascii="Verdana" w:hAnsi="Verdana"/>
          <w:szCs w:val="24"/>
        </w:rPr>
        <w:t>Prova de inexistência de débitos inadimplidos perante a Justiça do Trabalho, mediante a apresentação de certidão negativa.</w:t>
      </w:r>
    </w:p>
    <w:p>
      <w:pPr>
        <w:pStyle w:val="ListParagraph"/>
        <w:ind w:left="1430" w:hanging="0"/>
        <w:jc w:val="both"/>
        <w:rPr>
          <w:rFonts w:ascii="Verdana" w:hAnsi="Verdana"/>
          <w:szCs w:val="24"/>
        </w:rPr>
      </w:pPr>
      <w:r>
        <w:rPr>
          <w:rFonts w:ascii="Verdana" w:hAnsi="Verdana"/>
          <w:szCs w:val="24"/>
        </w:rPr>
      </w:r>
    </w:p>
    <w:p>
      <w:pPr>
        <w:pStyle w:val="Normal"/>
        <w:ind w:firstLine="708"/>
        <w:jc w:val="both"/>
        <w:rPr/>
      </w:pPr>
      <w:r>
        <w:rPr>
          <w:rFonts w:ascii="Verdana" w:hAnsi="Verdana"/>
          <w:szCs w:val="24"/>
        </w:rPr>
        <w:t xml:space="preserve">9.5.6.1 A Certidão Negativa de Débitos Trabalhistas pode ser obtida no endereço eletrônico </w:t>
      </w:r>
      <w:hyperlink r:id="rId2">
        <w:r>
          <w:rPr>
            <w:rStyle w:val="LinkdaInternet"/>
            <w:rFonts w:ascii="Verdana" w:hAnsi="Verdana"/>
            <w:szCs w:val="24"/>
          </w:rPr>
          <w:t>http://www.tst.jus.br/certidao</w:t>
        </w:r>
      </w:hyperlink>
      <w:r>
        <w:rPr>
          <w:rFonts w:ascii="Verdana" w:hAnsi="Verdana"/>
          <w:szCs w:val="24"/>
        </w:rPr>
        <w:t>.</w:t>
      </w:r>
    </w:p>
    <w:p>
      <w:pPr>
        <w:pStyle w:val="Normal"/>
        <w:ind w:firstLine="708"/>
        <w:jc w:val="both"/>
        <w:rPr/>
      </w:pPr>
      <w:r>
        <w:rPr>
          <w:rFonts w:ascii="Verdana" w:hAnsi="Verdana"/>
          <w:szCs w:val="24"/>
        </w:rPr>
        <w:t>9.5.7 Prova de inscrição no cadastro de contribuintes estadual ou municipal, se houver, relativo ao domicílio ou sede do licitante, pertinente ao seu ramo de atividade e compatível com o objeto contratual.</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9.5.8 Sob pena de inabilitação, todos os documentos apresentados para fins de habilitação deverão conter o nome da licitante e, preferencialmente, com número do CNPJ e endereço respectivo, observando-se que:</w:t>
      </w:r>
    </w:p>
    <w:p>
      <w:pPr>
        <w:pStyle w:val="Normal"/>
        <w:ind w:firstLine="708"/>
        <w:jc w:val="both"/>
        <w:rPr>
          <w:rFonts w:ascii="Verdana" w:hAnsi="Verdana"/>
          <w:szCs w:val="24"/>
        </w:rPr>
      </w:pPr>
      <w:r>
        <w:rPr>
          <w:rFonts w:ascii="Verdana" w:hAnsi="Verdana"/>
          <w:szCs w:val="24"/>
        </w:rPr>
      </w:r>
    </w:p>
    <w:p>
      <w:pPr>
        <w:pStyle w:val="ListParagraph"/>
        <w:numPr>
          <w:ilvl w:val="0"/>
          <w:numId w:val="0"/>
        </w:numPr>
        <w:ind w:left="2508" w:hanging="0"/>
        <w:jc w:val="both"/>
        <w:rPr>
          <w:rFonts w:ascii="Verdana" w:hAnsi="Verdana"/>
          <w:szCs w:val="24"/>
        </w:rPr>
      </w:pPr>
      <w:r>
        <w:rPr>
          <w:rFonts w:ascii="Verdana" w:hAnsi="Verdana"/>
          <w:szCs w:val="24"/>
        </w:rPr>
        <w:t>9.5.8.1 Se a licitante for a matriz, todos os documentos deverão estar em nome da matriz;</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ab/>
        <w:t>9.5.8.2  Se a licitante for a filial, todos os documentos deverão estar em nome da filial;</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ab/>
        <w:t>9.5.8.3 Se a licitante for matriz, e a executora do contrato for filial, a documentação deverá ser apresentada com CNPJ da matriz e da filial, simultaneamente;</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ab/>
        <w:t>9.5.8.4  Serão dispensados da filial aqueles documentos que, pela própria natureza, comprovadamente, forem emitidos somente em nome da matriz.</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ab/>
        <w:t>9.5.8.5 Figuram como exceções as certidões cuja abrangência atinge tanto a empresa matriz quanto as filiais (INSS e PGFN/RFB).</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ab/>
        <w:t>9.5.8.6 A Pregoeira e a equipe de apoio durante a análise dos documentos de habilitação procederão a validação das certidões negativas/positivas apresentadas nos sites dos órgãos oficiais (RECEITA FEDERAL, PROCURADORIA GERAL DA FAZENDA NACIONAL, CAIXA CONÔMICA FEDERAL, PREVIDÊNCIA SOCIAL, SECRETARIAS DA FAZENDA E TRIBUNAL SUPERIOR DO TRABALHO).</w:t>
      </w:r>
    </w:p>
    <w:p>
      <w:pPr>
        <w:pStyle w:val="Normal"/>
        <w:ind w:firstLine="708"/>
        <w:jc w:val="both"/>
        <w:rPr/>
      </w:pPr>
      <w:r>
        <w:rPr>
          <w:rFonts w:ascii="Verdana" w:hAnsi="Verdana"/>
          <w:szCs w:val="24"/>
        </w:rPr>
        <w:tab/>
        <w:t>9.5.8.7 Os documentos que não possuírem prazo de vigência estabelecido pelo órgão expedidor deverão ser datados dos últimos 180 (cento e oitenta) dias anteriores à data de abertura do Pregão.</w:t>
      </w:r>
    </w:p>
    <w:p>
      <w:pPr>
        <w:pStyle w:val="Normal"/>
        <w:ind w:firstLine="708"/>
        <w:rPr>
          <w:rFonts w:ascii="Verdana" w:hAnsi="Verdana"/>
          <w:szCs w:val="24"/>
        </w:rPr>
      </w:pPr>
      <w:r>
        <w:rPr>
          <w:rFonts w:ascii="Verdana" w:hAnsi="Verdana"/>
          <w:szCs w:val="24"/>
        </w:rPr>
      </w:r>
    </w:p>
    <w:p>
      <w:pPr>
        <w:pStyle w:val="Normal"/>
        <w:ind w:firstLine="708"/>
        <w:rPr/>
      </w:pPr>
      <w:r>
        <w:rPr>
          <w:rFonts w:ascii="Verdana" w:hAnsi="Verdana"/>
          <w:b/>
          <w:bCs/>
          <w:szCs w:val="24"/>
        </w:rPr>
        <w:t>9.6</w:t>
      </w:r>
      <w:r>
        <w:rPr>
          <w:rFonts w:ascii="Verdana" w:hAnsi="Verdana"/>
          <w:szCs w:val="24"/>
        </w:rPr>
        <w:tab/>
        <w:t xml:space="preserve">- </w:t>
      </w:r>
      <w:r>
        <w:rPr>
          <w:rFonts w:ascii="Verdana" w:hAnsi="Verdana"/>
          <w:b/>
          <w:bCs/>
          <w:szCs w:val="24"/>
        </w:rPr>
        <w:t>QUALIFICAÇÃO TÉCNICA:</w:t>
      </w:r>
    </w:p>
    <w:p>
      <w:pPr>
        <w:pStyle w:val="Normal"/>
        <w:ind w:firstLine="708"/>
        <w:jc w:val="both"/>
        <w:rPr/>
      </w:pPr>
      <w:r>
        <w:rPr>
          <w:rFonts w:ascii="Verdana" w:hAnsi="Verdana"/>
          <w:szCs w:val="24"/>
        </w:rPr>
        <w:tab/>
        <w:t>9.6.1) Apresentação de atestado(s) de capacidade técnica em nome da empresa licitante, fornecido(s) por empresa, órgãos ou entidades da Administração Pública, que comprove(m) a aptidão para o fornecimento compatível com as características indicadas no TERMO DE REFERÊNCIA - ANEXO 1.</w:t>
      </w:r>
    </w:p>
    <w:p>
      <w:pPr>
        <w:pStyle w:val="Normal"/>
        <w:ind w:firstLine="708"/>
        <w:rPr>
          <w:rFonts w:ascii="Verdana" w:hAnsi="Verdana"/>
          <w:szCs w:val="24"/>
        </w:rPr>
      </w:pPr>
      <w:r>
        <w:rPr>
          <w:rFonts w:ascii="Verdana" w:hAnsi="Verdana"/>
          <w:szCs w:val="24"/>
        </w:rPr>
      </w:r>
    </w:p>
    <w:p>
      <w:pPr>
        <w:pStyle w:val="Normal"/>
        <w:ind w:firstLine="708"/>
        <w:jc w:val="both"/>
        <w:rPr/>
      </w:pPr>
      <w:r>
        <w:rPr>
          <w:rFonts w:ascii="Verdana" w:hAnsi="Verdana"/>
          <w:szCs w:val="24"/>
        </w:rPr>
        <w:tab/>
        <w:t>9.6.2) O(s) atestado(s) deve(m) ser emitido(s) em papel timbrado da empresa contratante, assinado por seu representante legal, discriminando o teor da contratação e os dados da empresa contratada.</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ab/>
        <w:t>9.6.3) A CMCI poderá promover diligências para averiguar a veracidade das informações constantes nos documentos apresentados, caso julgue necessário, estando sujeita à inabilitação, a licitante que apresentar documentos em desacordo com as informações obtidas pela Equipe de Pregão, além de incorrer nas sanções previstas nas Leis n° 8.666/1993 e 10.520/2002.</w:t>
      </w:r>
    </w:p>
    <w:p>
      <w:pPr>
        <w:pStyle w:val="Normal"/>
        <w:ind w:firstLine="708"/>
        <w:jc w:val="both"/>
        <w:rPr/>
      </w:pPr>
      <w:r>
        <w:rPr>
          <w:rFonts w:ascii="Verdana" w:hAnsi="Verdana"/>
          <w:szCs w:val="24"/>
        </w:rPr>
        <w:tab/>
        <w:t>9.6.4) Apresentação de Declaração de inexigibilidade de Fato Impeditivo para Licitar, conforme Anexo V deste Edital, devendo conter a identificação da empresa licitante.</w:t>
      </w:r>
    </w:p>
    <w:p>
      <w:pPr>
        <w:pStyle w:val="Normal"/>
        <w:ind w:firstLine="708"/>
        <w:jc w:val="both"/>
        <w:rPr/>
      </w:pPr>
      <w:r>
        <w:rPr>
          <w:rFonts w:ascii="Verdana" w:hAnsi="Verdana"/>
          <w:szCs w:val="24"/>
        </w:rPr>
        <w:tab/>
        <w:t>9.6.5) Apresentação de Declaração de Cumprimento ao Disposto no Inciso XXXIII do art. 7</w:t>
      </w:r>
      <w:r>
        <w:rPr>
          <w:rFonts w:ascii="Verdana" w:hAnsi="Verdana"/>
          <w:sz w:val="26"/>
          <w:szCs w:val="24"/>
        </w:rPr>
        <w:t>º da Constituição Federal, conforme Anexo VII deste Edital.</w:t>
      </w:r>
    </w:p>
    <w:p>
      <w:pPr>
        <w:pStyle w:val="Normal"/>
        <w:ind w:firstLine="708"/>
        <w:jc w:val="both"/>
        <w:rPr>
          <w:rFonts w:ascii="Verdana" w:hAnsi="Verdana"/>
          <w:sz w:val="26"/>
          <w:szCs w:val="24"/>
        </w:rPr>
      </w:pPr>
      <w:r>
        <w:rPr>
          <w:rFonts w:ascii="Verdana" w:hAnsi="Verdana"/>
          <w:sz w:val="26"/>
          <w:szCs w:val="24"/>
        </w:rPr>
      </w:r>
    </w:p>
    <w:p>
      <w:pPr>
        <w:pStyle w:val="Normal"/>
        <w:ind w:firstLine="708"/>
        <w:jc w:val="both"/>
        <w:rPr>
          <w:b/>
          <w:b/>
          <w:bCs/>
        </w:rPr>
      </w:pPr>
      <w:r>
        <w:rPr>
          <w:rFonts w:ascii="Verdana" w:hAnsi="Verdana"/>
          <w:b/>
          <w:bCs/>
          <w:sz w:val="26"/>
          <w:szCs w:val="24"/>
        </w:rPr>
        <w:t>9.7 QUALIFICAÇÃO ECONÔMICO – FINANCEIRA</w:t>
      </w:r>
    </w:p>
    <w:p>
      <w:pPr>
        <w:pStyle w:val="Normal"/>
        <w:ind w:left="1134" w:hanging="0"/>
        <w:jc w:val="both"/>
        <w:rPr/>
      </w:pPr>
      <w:r>
        <w:rPr>
          <w:rFonts w:cs="Arial" w:ascii="Arial" w:hAnsi="Arial"/>
          <w:b/>
          <w:bCs/>
          <w:color w:val="000000"/>
          <w:sz w:val="22"/>
          <w:szCs w:val="22"/>
        </w:rPr>
        <w:t xml:space="preserve">9.7.1 </w:t>
      </w:r>
      <w:r>
        <w:rPr>
          <w:rFonts w:cs="Arial" w:ascii="Arial" w:hAnsi="Arial"/>
          <w:color w:val="000000"/>
          <w:sz w:val="22"/>
          <w:szCs w:val="22"/>
        </w:rPr>
        <w:t>Certidão Negativa de Pedido de Falência, Recuperação Judicial e Extrajudicial, expedida pelo distribuidor da sede da pessoa jurídica em data não superior a 90 (noventa) dias da data da abertura do certame, se outro prazo não constar do próprio documento,</w:t>
      </w:r>
    </w:p>
    <w:p>
      <w:pPr>
        <w:pStyle w:val="Normal"/>
        <w:ind w:left="1134" w:hanging="0"/>
        <w:jc w:val="both"/>
        <w:rPr>
          <w:rFonts w:ascii="Arial" w:hAnsi="Arial" w:cs="Arial"/>
          <w:b/>
          <w:b/>
          <w:bCs/>
          <w:color w:val="000000"/>
          <w:sz w:val="22"/>
          <w:szCs w:val="22"/>
        </w:rPr>
      </w:pPr>
      <w:r>
        <w:rPr>
          <w:rFonts w:cs="Arial" w:ascii="Arial" w:hAnsi="Arial"/>
          <w:b/>
          <w:bCs/>
          <w:color w:val="000000"/>
          <w:sz w:val="22"/>
          <w:szCs w:val="22"/>
        </w:rPr>
      </w:r>
    </w:p>
    <w:p>
      <w:pPr>
        <w:pStyle w:val="Normal"/>
        <w:ind w:left="1134" w:hanging="0"/>
        <w:jc w:val="both"/>
        <w:rPr/>
      </w:pPr>
      <w:r>
        <w:rPr>
          <w:rFonts w:cs="Arial" w:ascii="Arial" w:hAnsi="Arial"/>
          <w:b/>
          <w:color w:val="000000"/>
          <w:sz w:val="22"/>
          <w:szCs w:val="22"/>
          <w:shd w:fill="FFFFFF" w:val="clear"/>
        </w:rPr>
        <w:t>9.7.2</w:t>
      </w:r>
      <w:r>
        <w:rPr>
          <w:rFonts w:cs="Arial" w:ascii="Arial" w:hAnsi="Arial"/>
          <w:color w:val="000000"/>
          <w:sz w:val="22"/>
          <w:szCs w:val="22"/>
          <w:shd w:fill="FFFFFF" w:val="clear"/>
        </w:rPr>
        <w:t> 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pPr>
        <w:pStyle w:val="Normal"/>
        <w:spacing w:before="240" w:after="240"/>
        <w:ind w:left="1134" w:hanging="0"/>
        <w:jc w:val="both"/>
        <w:rPr/>
      </w:pPr>
      <w:r>
        <w:rPr>
          <w:rFonts w:cs="Arial" w:ascii="Arial" w:hAnsi="Arial"/>
          <w:b/>
          <w:bCs/>
          <w:color w:val="000000"/>
          <w:sz w:val="22"/>
          <w:szCs w:val="22"/>
        </w:rPr>
        <w:t xml:space="preserve">9.7.2.1 </w:t>
      </w:r>
      <w:r>
        <w:rPr>
          <w:rFonts w:cs="Arial" w:ascii="Arial" w:hAnsi="Arial"/>
          <w:bCs/>
          <w:sz w:val="22"/>
          <w:szCs w:val="22"/>
        </w:rPr>
        <w:t>. O balanço e demonstrações solicitados deverão ser representados por cópias reprográficas das páginas do livro diário onde se acham transcritos, acompanhadas de cópia reprográfica de seu Termo de Abertura e de Encerramento, comprovando registro na junta Comercial. Poderá também ser apresentada cópia reprográfica de publicação em jornal, na forma de Lei. As cópias deverão ser autenticadas.</w:t>
      </w:r>
    </w:p>
    <w:p>
      <w:pPr>
        <w:pStyle w:val="Normal"/>
        <w:spacing w:before="240" w:after="240"/>
        <w:ind w:left="1134" w:hanging="0"/>
        <w:jc w:val="both"/>
        <w:rPr/>
      </w:pPr>
      <w:r>
        <w:rPr>
          <w:rFonts w:cs="Arial" w:ascii="Arial" w:hAnsi="Arial"/>
          <w:b/>
          <w:sz w:val="22"/>
          <w:szCs w:val="22"/>
        </w:rPr>
        <w:t>9.7.2.2</w:t>
      </w:r>
      <w:r>
        <w:rPr>
          <w:rFonts w:cs="Arial" w:ascii="Arial" w:hAnsi="Arial"/>
          <w:sz w:val="22"/>
          <w:szCs w:val="22"/>
        </w:rPr>
        <w:t>. Quando o balanço patrimonial do último exercício social estiver encerrado há mais de 03 (três) meses da data de apresentação da proposta, poderá apresentá-los atualizados através da variação de índices oficiais do mês de encerramento, devendo indicar a data de atualização.</w:t>
      </w:r>
    </w:p>
    <w:p>
      <w:pPr>
        <w:pStyle w:val="Normal"/>
        <w:tabs>
          <w:tab w:val="left" w:pos="0" w:leader="none"/>
        </w:tabs>
        <w:ind w:left="1134" w:hanging="0"/>
        <w:jc w:val="both"/>
        <w:rPr/>
      </w:pPr>
      <w:r>
        <w:rPr>
          <w:rFonts w:cs="Arial" w:ascii="Arial" w:hAnsi="Arial"/>
          <w:b/>
          <w:sz w:val="22"/>
          <w:szCs w:val="22"/>
        </w:rPr>
        <w:t>9.7.2.3</w:t>
      </w:r>
      <w:r>
        <w:rPr>
          <w:rFonts w:cs="Arial" w:ascii="Arial" w:hAnsi="Arial"/>
          <w:sz w:val="22"/>
          <w:szCs w:val="22"/>
        </w:rPr>
        <w:t>. As Empresas constituídas como Sociedades Anônimas de Capital Aberto e Sociedades consideradas “Empresas de Grande Porte”, deverão apresentar seus balanços de acordo com as disposições contidas na Lei 11.638/2007.</w:t>
      </w:r>
    </w:p>
    <w:p>
      <w:pPr>
        <w:pStyle w:val="Corpodetexto"/>
        <w:ind w:left="708" w:hanging="0"/>
        <w:rPr>
          <w:rFonts w:ascii="Arial" w:hAnsi="Arial" w:cs="Arial"/>
          <w:sz w:val="22"/>
          <w:szCs w:val="22"/>
        </w:rPr>
      </w:pPr>
      <w:r>
        <w:rPr>
          <w:rFonts w:cs="Arial" w:ascii="Arial" w:hAnsi="Arial"/>
          <w:sz w:val="22"/>
          <w:szCs w:val="22"/>
        </w:rPr>
      </w:r>
    </w:p>
    <w:p>
      <w:pPr>
        <w:pStyle w:val="Normal"/>
        <w:ind w:left="1134" w:hanging="0"/>
        <w:jc w:val="both"/>
        <w:rPr/>
      </w:pPr>
      <w:r>
        <w:rPr>
          <w:rFonts w:cs="Arial" w:ascii="Arial" w:hAnsi="Arial"/>
          <w:b/>
          <w:sz w:val="22"/>
          <w:szCs w:val="22"/>
        </w:rPr>
        <w:t>9.7.2.4</w:t>
      </w:r>
      <w:r>
        <w:rPr>
          <w:rFonts w:cs="Arial" w:ascii="Arial" w:hAnsi="Arial"/>
          <w:sz w:val="22"/>
          <w:szCs w:val="22"/>
        </w:rPr>
        <w:t>. Para as Sociedades por Cotas de Responsabilidade Limitada, é indispensável à indicação do número de registro do Livro Diário, do número das páginas em que se acham transcritas as demonstrações financeiras e do número de registro do Livro Diário na repartição competente (Junta Comercial ou Cartório de Registro Civil das Pessoas Jurídicas).</w:t>
      </w:r>
    </w:p>
    <w:p>
      <w:pPr>
        <w:pStyle w:val="Normal"/>
        <w:ind w:left="1134" w:hanging="0"/>
        <w:jc w:val="both"/>
        <w:rPr>
          <w:rFonts w:ascii="Arial" w:hAnsi="Arial" w:cs="Arial"/>
          <w:sz w:val="22"/>
          <w:szCs w:val="22"/>
        </w:rPr>
      </w:pPr>
      <w:r>
        <w:rPr>
          <w:rFonts w:cs="Arial" w:ascii="Arial" w:hAnsi="Arial"/>
          <w:sz w:val="22"/>
          <w:szCs w:val="22"/>
        </w:rPr>
      </w:r>
    </w:p>
    <w:p>
      <w:pPr>
        <w:pStyle w:val="Normal"/>
        <w:ind w:left="1276" w:hanging="0"/>
        <w:jc w:val="both"/>
        <w:rPr/>
      </w:pPr>
      <w:r>
        <w:rPr>
          <w:rFonts w:cs="Arial" w:ascii="Arial" w:hAnsi="Arial"/>
          <w:b/>
          <w:sz w:val="22"/>
          <w:szCs w:val="22"/>
        </w:rPr>
        <w:t>9.7.2.5</w:t>
      </w:r>
      <w:r>
        <w:rPr>
          <w:rFonts w:cs="Arial" w:ascii="Arial" w:hAnsi="Arial"/>
          <w:sz w:val="22"/>
          <w:szCs w:val="22"/>
        </w:rPr>
        <w:t>. As empresas recém-constituídas deverão apresentar Balanço de Abertura, devidamente registrado na repartição competente.</w:t>
      </w:r>
    </w:p>
    <w:p>
      <w:pPr>
        <w:pStyle w:val="Normal"/>
        <w:ind w:left="708" w:hanging="0"/>
        <w:jc w:val="both"/>
        <w:rPr>
          <w:rFonts w:ascii="Arial" w:hAnsi="Arial" w:cs="Arial"/>
          <w:sz w:val="22"/>
          <w:szCs w:val="22"/>
        </w:rPr>
      </w:pPr>
      <w:r>
        <w:rPr>
          <w:rFonts w:cs="Arial" w:ascii="Arial" w:hAnsi="Arial"/>
          <w:sz w:val="22"/>
          <w:szCs w:val="22"/>
        </w:rPr>
      </w:r>
    </w:p>
    <w:p>
      <w:pPr>
        <w:pStyle w:val="Normal"/>
        <w:ind w:left="1134" w:firstLine="284"/>
        <w:jc w:val="both"/>
        <w:rPr/>
      </w:pPr>
      <w:r>
        <w:rPr>
          <w:rFonts w:cs="Arial" w:ascii="Arial" w:hAnsi="Arial"/>
          <w:b/>
          <w:sz w:val="22"/>
          <w:szCs w:val="22"/>
        </w:rPr>
        <w:t>9.7.2.6</w:t>
      </w:r>
      <w:r>
        <w:rPr>
          <w:rFonts w:cs="Arial" w:ascii="Arial" w:hAnsi="Arial"/>
          <w:sz w:val="22"/>
          <w:szCs w:val="22"/>
        </w:rPr>
        <w:t>. Empresas sujeitas à tributação do imposto de renda com base no lucro real deverão apresentar Declaração assinada pelo(s) representante(s) legal(s) de que se enquadram na Instrução Normativa RFB n° 787, de 19 de novembro de 2007, até o final do mês de junho do ano corrente. A partir do mês julho do ano corrente deverão apresentar a Escrituração Contábil Digital (ECD) transmitida ao Sistema Público de Escrituração Digital (Sped), por meio do Recibo de Entrega de Livro Digital e o Termo de Autenticação com a sua respectiva numeração.</w:t>
      </w:r>
    </w:p>
    <w:p>
      <w:pPr>
        <w:pStyle w:val="Normal"/>
        <w:ind w:left="708" w:hanging="0"/>
        <w:jc w:val="both"/>
        <w:rPr>
          <w:rFonts w:ascii="Arial" w:hAnsi="Arial" w:cs="Arial"/>
          <w:sz w:val="22"/>
          <w:szCs w:val="22"/>
        </w:rPr>
      </w:pPr>
      <w:r>
        <w:rPr>
          <w:rFonts w:cs="Arial" w:ascii="Arial" w:hAnsi="Arial"/>
          <w:sz w:val="22"/>
          <w:szCs w:val="22"/>
        </w:rPr>
      </w:r>
    </w:p>
    <w:p>
      <w:pPr>
        <w:pStyle w:val="Normal"/>
        <w:ind w:left="1418" w:hanging="0"/>
        <w:jc w:val="both"/>
        <w:rPr/>
      </w:pPr>
      <w:r>
        <w:rPr>
          <w:rFonts w:cs="Arial" w:ascii="Arial" w:hAnsi="Arial"/>
          <w:b/>
          <w:sz w:val="22"/>
          <w:szCs w:val="22"/>
        </w:rPr>
        <w:t>9.7.2.6</w:t>
      </w:r>
      <w:r>
        <w:rPr>
          <w:rFonts w:cs="Arial" w:ascii="Arial" w:hAnsi="Arial"/>
          <w:sz w:val="22"/>
          <w:szCs w:val="22"/>
        </w:rPr>
        <w:t xml:space="preserve"> Comprovação da existência de Patrimônio Líquido a ser apurado com base no balanço do último exercício.</w:t>
      </w:r>
    </w:p>
    <w:p>
      <w:pPr>
        <w:pStyle w:val="Normal"/>
        <w:ind w:left="708" w:hanging="0"/>
        <w:jc w:val="both"/>
        <w:rPr>
          <w:rFonts w:ascii="Arial" w:hAnsi="Arial" w:cs="Arial"/>
          <w:sz w:val="22"/>
          <w:szCs w:val="22"/>
        </w:rPr>
      </w:pPr>
      <w:r>
        <w:rPr>
          <w:rFonts w:cs="Arial" w:ascii="Arial" w:hAnsi="Arial"/>
          <w:sz w:val="22"/>
          <w:szCs w:val="22"/>
        </w:rPr>
      </w:r>
    </w:p>
    <w:p>
      <w:pPr>
        <w:pStyle w:val="Normal"/>
        <w:spacing w:before="240" w:after="240"/>
        <w:ind w:left="1418" w:hanging="0"/>
        <w:jc w:val="both"/>
        <w:rPr/>
      </w:pPr>
      <w:r>
        <w:rPr>
          <w:rFonts w:cs="Arial" w:ascii="Arial" w:hAnsi="Arial"/>
          <w:b/>
          <w:sz w:val="22"/>
          <w:szCs w:val="22"/>
        </w:rPr>
        <w:t>9.7.2.8</w:t>
      </w:r>
      <w:r>
        <w:rPr>
          <w:rFonts w:cs="Arial" w:ascii="Arial" w:hAnsi="Arial"/>
          <w:sz w:val="22"/>
          <w:szCs w:val="22"/>
        </w:rPr>
        <w:t>.</w:t>
      </w:r>
      <w:r>
        <w:rPr>
          <w:rFonts w:cs="Arial" w:ascii="Arial" w:hAnsi="Arial"/>
          <w:b/>
          <w:sz w:val="22"/>
          <w:szCs w:val="22"/>
        </w:rPr>
        <w:t xml:space="preserve"> </w:t>
      </w:r>
      <w:r>
        <w:rPr>
          <w:rFonts w:cs="Arial" w:ascii="Arial" w:hAnsi="Arial"/>
          <w:sz w:val="22"/>
          <w:szCs w:val="22"/>
        </w:rPr>
        <w:t>Comprovação de que a licitante está em boa situação financeira, através da apresentação dos seguintes índices:</w:t>
      </w:r>
    </w:p>
    <w:p>
      <w:pPr>
        <w:pStyle w:val="Corpodetexto"/>
        <w:ind w:left="900" w:hanging="0"/>
        <w:rPr/>
      </w:pPr>
      <w:r>
        <w:rPr>
          <w:rFonts w:cs="Arial" w:ascii="Arial" w:hAnsi="Arial"/>
          <w:sz w:val="22"/>
          <w:szCs w:val="22"/>
        </w:rPr>
        <w:t>ÍNDICE DE LIQUIDEZ CORRENTE (ILC) IGUAL OU SUPERIOR A 1,0 (UM) OBTIDO PELA FÓRMULA:</w:t>
      </w:r>
    </w:p>
    <w:p>
      <w:pPr>
        <w:pStyle w:val="Corpodetexto"/>
        <w:jc w:val="center"/>
        <w:rPr/>
      </w:pPr>
      <w:r>
        <w:rPr>
          <w:rFonts w:cs="Arial" w:ascii="Arial" w:hAnsi="Arial"/>
          <w:sz w:val="22"/>
          <w:szCs w:val="22"/>
        </w:rPr>
        <w:t>ILC =</w:t>
      </w:r>
      <w:r>
        <w:rPr>
          <w:rFonts w:cs="Arial" w:ascii="Arial" w:hAnsi="Arial"/>
          <w:sz w:val="22"/>
          <w:szCs w:val="22"/>
          <w:u w:val="single"/>
        </w:rPr>
        <w:t xml:space="preserve"> AC</w:t>
      </w:r>
    </w:p>
    <w:p>
      <w:pPr>
        <w:pStyle w:val="Corpodetexto"/>
        <w:jc w:val="center"/>
        <w:rPr/>
      </w:pPr>
      <w:r>
        <w:rPr>
          <w:rFonts w:eastAsia="Arial" w:cs="Arial" w:ascii="Arial" w:hAnsi="Arial"/>
          <w:sz w:val="22"/>
          <w:szCs w:val="22"/>
        </w:rPr>
        <w:t xml:space="preserve">         </w:t>
      </w:r>
      <w:r>
        <w:rPr>
          <w:rFonts w:cs="Arial" w:ascii="Arial" w:hAnsi="Arial"/>
          <w:sz w:val="22"/>
          <w:szCs w:val="22"/>
        </w:rPr>
        <w:t>PC</w:t>
      </w:r>
    </w:p>
    <w:p>
      <w:pPr>
        <w:pStyle w:val="Corpodetexto"/>
        <w:ind w:left="900" w:hanging="0"/>
        <w:rPr/>
      </w:pPr>
      <w:r>
        <w:rPr>
          <w:rFonts w:cs="Arial" w:ascii="Arial" w:hAnsi="Arial"/>
          <w:sz w:val="22"/>
          <w:szCs w:val="22"/>
        </w:rPr>
        <w:t>ÍNDICE DE LIQUIDEZ GERAL (ILG) IGUAL OU SUPERIOR A 1,0 (UM) OBTIDO PELA FÓRMULA:</w:t>
      </w:r>
    </w:p>
    <w:p>
      <w:pPr>
        <w:pStyle w:val="Corpodetexto"/>
        <w:jc w:val="center"/>
        <w:rPr/>
      </w:pPr>
      <w:r>
        <w:rPr>
          <w:rFonts w:cs="Arial" w:ascii="Arial" w:hAnsi="Arial"/>
          <w:sz w:val="22"/>
          <w:szCs w:val="22"/>
        </w:rPr>
        <w:t>ILG =</w:t>
      </w:r>
      <w:r>
        <w:rPr>
          <w:rFonts w:cs="Arial" w:ascii="Arial" w:hAnsi="Arial"/>
          <w:sz w:val="22"/>
          <w:szCs w:val="22"/>
          <w:u w:val="single"/>
        </w:rPr>
        <w:t xml:space="preserve"> AC + RLP</w:t>
      </w:r>
    </w:p>
    <w:p>
      <w:pPr>
        <w:pStyle w:val="Corpodetexto"/>
        <w:ind w:firstLine="708"/>
        <w:jc w:val="center"/>
        <w:rPr/>
      </w:pPr>
      <w:r>
        <w:rPr>
          <w:rFonts w:cs="Arial" w:ascii="Arial" w:hAnsi="Arial"/>
          <w:sz w:val="22"/>
          <w:szCs w:val="22"/>
        </w:rPr>
        <w:t>PC+ELP</w:t>
      </w:r>
    </w:p>
    <w:p>
      <w:pPr>
        <w:pStyle w:val="Corpodetexto"/>
        <w:ind w:left="900" w:hanging="0"/>
        <w:rPr/>
      </w:pPr>
      <w:r>
        <w:rPr>
          <w:rFonts w:cs="Arial" w:ascii="Arial" w:hAnsi="Arial"/>
          <w:sz w:val="22"/>
          <w:szCs w:val="22"/>
        </w:rPr>
        <w:t>ÍNDICE DE ENDIVIDAMENTO IGUAL OU INFERIOR A 0,50 (ZERO VÍRGULA CINQUENTA) CALCULADO PELA FÓRMULA:</w:t>
      </w:r>
    </w:p>
    <w:p>
      <w:pPr>
        <w:pStyle w:val="Corpodetexto"/>
        <w:jc w:val="center"/>
        <w:rPr/>
      </w:pPr>
      <w:r>
        <w:rPr>
          <w:rFonts w:cs="Arial" w:ascii="Arial" w:hAnsi="Arial"/>
          <w:sz w:val="22"/>
          <w:szCs w:val="22"/>
          <w:lang w:val="en-US"/>
        </w:rPr>
        <w:t xml:space="preserve">IE= </w:t>
      </w:r>
      <w:r>
        <w:rPr>
          <w:rFonts w:cs="Arial" w:ascii="Arial" w:hAnsi="Arial"/>
          <w:sz w:val="22"/>
          <w:szCs w:val="22"/>
          <w:u w:val="single"/>
          <w:lang w:val="en-US"/>
        </w:rPr>
        <w:t>PC + ELP</w:t>
      </w:r>
    </w:p>
    <w:p>
      <w:pPr>
        <w:pStyle w:val="Corpodetexto"/>
        <w:jc w:val="center"/>
        <w:rPr/>
      </w:pPr>
      <w:r>
        <w:rPr>
          <w:rFonts w:eastAsia="Arial" w:cs="Arial" w:ascii="Arial" w:hAnsi="Arial"/>
          <w:sz w:val="22"/>
          <w:szCs w:val="22"/>
          <w:lang w:val="en-US"/>
        </w:rPr>
        <w:t xml:space="preserve">    </w:t>
      </w:r>
      <w:r>
        <w:rPr>
          <w:rFonts w:cs="Arial" w:ascii="Arial" w:hAnsi="Arial"/>
          <w:sz w:val="22"/>
          <w:szCs w:val="22"/>
          <w:lang w:val="en-US"/>
        </w:rPr>
        <w:t>AT</w:t>
      </w:r>
    </w:p>
    <w:p>
      <w:pPr>
        <w:pStyle w:val="Corpodetexto"/>
        <w:rPr/>
      </w:pPr>
      <w:r>
        <w:rPr>
          <w:rFonts w:cs="Arial" w:ascii="Arial" w:hAnsi="Arial"/>
          <w:sz w:val="22"/>
          <w:szCs w:val="22"/>
          <w:lang w:val="en-US"/>
        </w:rPr>
        <w:tab/>
        <w:tab/>
        <w:t>ONDE:</w:t>
      </w:r>
    </w:p>
    <w:p>
      <w:pPr>
        <w:pStyle w:val="Corpodetexto"/>
        <w:ind w:left="900" w:firstLine="1224"/>
        <w:rPr/>
      </w:pPr>
      <w:r>
        <w:rPr>
          <w:rFonts w:cs="Arial" w:ascii="Arial" w:hAnsi="Arial"/>
          <w:sz w:val="22"/>
          <w:szCs w:val="22"/>
        </w:rPr>
        <w:t xml:space="preserve">AC = ATIVO CIRCULANTE </w:t>
      </w:r>
    </w:p>
    <w:p>
      <w:pPr>
        <w:pStyle w:val="Corpodetexto"/>
        <w:ind w:left="900" w:firstLine="1224"/>
        <w:rPr/>
      </w:pPr>
      <w:r>
        <w:rPr>
          <w:rFonts w:cs="Arial" w:ascii="Arial" w:hAnsi="Arial"/>
          <w:sz w:val="22"/>
          <w:szCs w:val="22"/>
        </w:rPr>
        <w:t xml:space="preserve">PC = PASSIVO CIRCULANTE </w:t>
      </w:r>
    </w:p>
    <w:p>
      <w:pPr>
        <w:pStyle w:val="Corpodetexto"/>
        <w:ind w:left="900" w:firstLine="1224"/>
        <w:rPr/>
      </w:pPr>
      <w:r>
        <w:rPr>
          <w:rFonts w:cs="Arial" w:ascii="Arial" w:hAnsi="Arial"/>
          <w:sz w:val="22"/>
          <w:szCs w:val="22"/>
        </w:rPr>
        <w:t xml:space="preserve">RLP= REALIZÁVEL À LONGO PRAZO </w:t>
      </w:r>
    </w:p>
    <w:p>
      <w:pPr>
        <w:pStyle w:val="Corpodetexto"/>
        <w:ind w:left="900" w:firstLine="1224"/>
        <w:rPr/>
      </w:pPr>
      <w:r>
        <w:rPr>
          <w:rFonts w:cs="Arial" w:ascii="Arial" w:hAnsi="Arial"/>
          <w:sz w:val="22"/>
          <w:szCs w:val="22"/>
        </w:rPr>
        <w:t>ELP= EXIGÍVEL À LONGO PRAZO</w:t>
      </w:r>
    </w:p>
    <w:p>
      <w:pPr>
        <w:pStyle w:val="Corpodetexto"/>
        <w:ind w:left="900" w:firstLine="1224"/>
        <w:rPr/>
      </w:pPr>
      <w:r>
        <w:rPr>
          <w:rFonts w:cs="Arial" w:ascii="Arial" w:hAnsi="Arial"/>
          <w:sz w:val="22"/>
          <w:szCs w:val="22"/>
        </w:rPr>
        <w:t xml:space="preserve">PC  = PASSIVO CIRCULANTE </w:t>
      </w:r>
    </w:p>
    <w:p>
      <w:pPr>
        <w:pStyle w:val="Corpodetexto"/>
        <w:ind w:left="900" w:firstLine="1224"/>
        <w:rPr>
          <w:rFonts w:ascii="Arial" w:hAnsi="Arial" w:cs="Arial"/>
          <w:sz w:val="22"/>
          <w:szCs w:val="22"/>
        </w:rPr>
      </w:pPr>
      <w:r>
        <w:rPr>
          <w:rFonts w:cs="Arial" w:ascii="Arial" w:hAnsi="Arial"/>
          <w:sz w:val="22"/>
          <w:szCs w:val="22"/>
        </w:rPr>
      </w:r>
    </w:p>
    <w:p>
      <w:pPr>
        <w:pStyle w:val="Corpodetexto"/>
        <w:ind w:left="900" w:firstLine="1224"/>
        <w:rPr>
          <w:rFonts w:ascii="Arial" w:hAnsi="Arial" w:cs="Arial"/>
          <w:sz w:val="22"/>
          <w:szCs w:val="22"/>
        </w:rPr>
      </w:pPr>
      <w:r>
        <w:rPr>
          <w:rFonts w:cs="Arial" w:ascii="Arial" w:hAnsi="Arial"/>
          <w:sz w:val="22"/>
          <w:szCs w:val="22"/>
        </w:rPr>
      </w:r>
    </w:p>
    <w:p>
      <w:pPr>
        <w:pStyle w:val="Corpodetexto"/>
        <w:ind w:left="900" w:firstLine="1224"/>
        <w:rPr>
          <w:rFonts w:ascii="Arial" w:hAnsi="Arial" w:cs="Arial"/>
          <w:sz w:val="22"/>
          <w:szCs w:val="22"/>
        </w:rPr>
      </w:pPr>
      <w:r>
        <w:rPr>
          <w:rFonts w:cs="Arial" w:ascii="Arial" w:hAnsi="Arial"/>
          <w:sz w:val="22"/>
          <w:szCs w:val="22"/>
        </w:rPr>
      </w:r>
    </w:p>
    <w:p>
      <w:pPr>
        <w:pStyle w:val="Corpodetexto"/>
        <w:ind w:left="900" w:firstLine="1224"/>
        <w:rPr/>
      </w:pPr>
      <w:r>
        <w:rPr>
          <w:rFonts w:cs="Arial" w:ascii="Arial" w:hAnsi="Arial"/>
          <w:sz w:val="22"/>
          <w:szCs w:val="22"/>
        </w:rPr>
        <w:t xml:space="preserve">ELP= EXIGÍVEL A LONGO PRAZO </w:t>
      </w:r>
    </w:p>
    <w:p>
      <w:pPr>
        <w:pStyle w:val="Corpodetexto"/>
        <w:ind w:left="900" w:firstLine="1224"/>
        <w:rPr/>
      </w:pPr>
      <w:r>
        <w:rPr>
          <w:rFonts w:cs="Arial" w:ascii="Arial" w:hAnsi="Arial"/>
          <w:sz w:val="22"/>
          <w:szCs w:val="22"/>
        </w:rPr>
        <w:t xml:space="preserve">AT  = ATIVO TOTAL </w:t>
      </w:r>
    </w:p>
    <w:p>
      <w:pPr>
        <w:pStyle w:val="Corpodetexto"/>
        <w:ind w:left="900" w:firstLine="1224"/>
        <w:rPr>
          <w:rFonts w:ascii="Arial" w:hAnsi="Arial" w:cs="Arial"/>
          <w:sz w:val="22"/>
          <w:szCs w:val="22"/>
        </w:rPr>
      </w:pPr>
      <w:r>
        <w:rPr>
          <w:rFonts w:cs="Arial" w:ascii="Arial" w:hAnsi="Arial"/>
          <w:sz w:val="22"/>
          <w:szCs w:val="22"/>
        </w:rPr>
      </w:r>
    </w:p>
    <w:p>
      <w:pPr>
        <w:pStyle w:val="Normal"/>
        <w:spacing w:before="280" w:after="0"/>
        <w:ind w:left="1418" w:hanging="1"/>
        <w:jc w:val="both"/>
        <w:rPr/>
      </w:pPr>
      <w:r>
        <w:rPr>
          <w:rFonts w:cs="Arial" w:ascii="Arial" w:hAnsi="Arial"/>
          <w:b/>
          <w:color w:val="000000"/>
          <w:sz w:val="22"/>
          <w:szCs w:val="22"/>
        </w:rPr>
        <w:t>9.7.2.9.</w:t>
      </w:r>
      <w:r>
        <w:rPr>
          <w:rFonts w:cs="Arial" w:ascii="Arial" w:hAnsi="Arial"/>
          <w:color w:val="000000"/>
          <w:sz w:val="22"/>
          <w:szCs w:val="22"/>
        </w:rPr>
        <w:t xml:space="preserve"> O Índice de Liquidez Corrente (ILC) inferior a l,00 (hum), desqualifica a Empresa ou Firma.</w:t>
      </w:r>
    </w:p>
    <w:p>
      <w:pPr>
        <w:pStyle w:val="Normal"/>
        <w:spacing w:before="280" w:after="0"/>
        <w:ind w:left="1418" w:hanging="0"/>
        <w:jc w:val="both"/>
        <w:rPr/>
      </w:pPr>
      <w:r>
        <w:rPr>
          <w:rFonts w:cs="Arial" w:ascii="Arial" w:hAnsi="Arial"/>
          <w:b/>
          <w:color w:val="000000"/>
          <w:sz w:val="22"/>
          <w:szCs w:val="22"/>
        </w:rPr>
        <w:t>9.7.2.10</w:t>
      </w:r>
      <w:r>
        <w:rPr>
          <w:rFonts w:cs="Arial" w:ascii="Arial" w:hAnsi="Arial"/>
          <w:color w:val="000000"/>
          <w:sz w:val="22"/>
          <w:szCs w:val="22"/>
        </w:rPr>
        <w:t>. Considerar-se-á para efeito do cálculo da alínea anterior o valor estimado pela Câmara Municipal de Cachoeiro de Itapemirim.</w:t>
      </w:r>
    </w:p>
    <w:p>
      <w:pPr>
        <w:pStyle w:val="Normal"/>
        <w:spacing w:before="280" w:after="0"/>
        <w:ind w:left="1418" w:hanging="0"/>
        <w:jc w:val="both"/>
        <w:rPr>
          <w:rFonts w:ascii="Verdana" w:hAnsi="Verdana"/>
          <w:sz w:val="26"/>
          <w:szCs w:val="24"/>
        </w:rPr>
      </w:pPr>
      <w:r>
        <w:rPr>
          <w:rFonts w:ascii="Verdana" w:hAnsi="Verdana"/>
          <w:sz w:val="26"/>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b/>
          <w:bCs/>
          <w:szCs w:val="24"/>
        </w:rPr>
        <w:t>9.7</w:t>
        <w:tab/>
        <w:t>– DECLARAÇÕES FIRMADAS NOS ANEXOS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ab/>
        <w:t xml:space="preserve">a) A ausência de qualquer dos anexos contidos neste Edital importará em imediata inabilitação do licitante. Exceto o ANEXO II - CREDENCIAMENTO </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b/>
          <w:bCs/>
          <w:szCs w:val="24"/>
        </w:rPr>
        <w:t>10</w:t>
        <w:tab/>
        <w:t>- RECURSOS</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10.1</w:t>
        <w:tab/>
        <w:t>- Declarada a licitante vencedora, qualquer licitante poderá manifestar imediata e motivadamente a intenção de recorrer, quando lhe será concedido o prazo de 03 (três) dias para apresentação das razões do recurso, ficando as demais licitantes desde logo intimadas para em 03 (três) dias apresentarem contrarrazões, que começarão a correr do término do prazo concedido a recorrente, sendo-lhes assegurada vista imediata dos autos.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10.2</w:t>
        <w:tab/>
        <w:t>- A falta de manifestação imediata e motivada da empresa licitante importará na decadência do direito de recurso.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10.3</w:t>
        <w:tab/>
        <w:t>- Os recursos e as contrarrazões deverão ser impressos, contendo a razão social, o CNPJ, o endereço, o telefone e o e-mail da empresa licitante, estar rubricado em todas as folhas e assinado pelo representante legal ou credenciado.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10.4</w:t>
        <w:tab/>
        <w:t>- Os recursos e as contrarrazões devem ser dirigidos a Pregoeira e protocolados no setor de protocolo da CMCI.</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10.5</w:t>
        <w:tab/>
        <w:t>- Não serão conhecidos os recursos apresentados fora do prazo legal e/ou subscritos por representante não habilitado legalmente ou não identificado no processo para responder pela empresa licitante.</w:t>
      </w:r>
    </w:p>
    <w:p>
      <w:pPr>
        <w:pStyle w:val="Normal"/>
        <w:ind w:firstLine="708"/>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10.6</w:t>
        <w:tab/>
        <w:t>- As intenções recursais relativas a recursos não admitidos e recursos rejeitados pela Pregoeira deverão ser dirigidas ao Diretor Geral da CMCI, através de protocolo no protocolo da CMCI, nos mesmos moldes do item 10.3.</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10.7</w:t>
        <w:tab/>
        <w:t>- O acolhimento do recurso implicará na invalidação apenas dos atos insuscetíveis de aproveitamento.</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b/>
          <w:bCs/>
          <w:szCs w:val="24"/>
        </w:rPr>
        <w:t>11</w:t>
        <w:tab/>
        <w:t>- ADJUDICAÇÃO E HOMOLOGAÇÃO</w:t>
      </w:r>
    </w:p>
    <w:p>
      <w:pPr>
        <w:pStyle w:val="Normal"/>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11.1</w:t>
        <w:tab/>
        <w:t>- Será lavrada ata circunstanciada da sessão pública do Pregão com o registro das empresas licitantes credenciadas, das propostas de preço escritas e verbais, conforme a ordem de classificação, da análise dos documentos de habilitação, dos recursos interpostos, além de outros fatos pertinentes.</w:t>
      </w:r>
    </w:p>
    <w:p>
      <w:pPr>
        <w:pStyle w:val="Normal"/>
        <w:ind w:firstLine="708"/>
        <w:jc w:val="both"/>
        <w:rPr>
          <w:rFonts w:ascii="Verdana" w:hAnsi="Verdana"/>
          <w:szCs w:val="24"/>
        </w:rPr>
      </w:pPr>
      <w:r>
        <w:rPr>
          <w:rFonts w:ascii="Verdana" w:hAnsi="Verdana"/>
          <w:szCs w:val="24"/>
        </w:rPr>
        <w:t xml:space="preserve"> </w:t>
      </w:r>
    </w:p>
    <w:p>
      <w:pPr>
        <w:pStyle w:val="Normal"/>
        <w:ind w:firstLine="708"/>
        <w:jc w:val="both"/>
        <w:rPr>
          <w:rFonts w:ascii="Verdana" w:hAnsi="Verdana"/>
          <w:szCs w:val="24"/>
        </w:rPr>
      </w:pPr>
      <w:r>
        <w:rPr>
          <w:rFonts w:ascii="Verdana" w:hAnsi="Verdana"/>
          <w:szCs w:val="24"/>
        </w:rPr>
        <w:t>11.2</w:t>
        <w:tab/>
        <w:t>- A adjudicação do objeto do Pregão é atribuição da Pregoeira, exceto quando houver manifestação de recurso, hipótese em que a adjudicação caberá a autoridade superior da CMCI.</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11.3</w:t>
        <w:tab/>
        <w:t>- A homologação do Pregão cabe à autoridade superior da CMCI.</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b/>
          <w:bCs/>
          <w:szCs w:val="24"/>
        </w:rPr>
        <w:t>12</w:t>
        <w:tab/>
        <w:t>- ORIENTAÇÕES SOBRE O FORNECIMENTO DOS PRODUTOS</w:t>
      </w:r>
    </w:p>
    <w:p>
      <w:pPr>
        <w:pStyle w:val="Normal"/>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12.1 - As informações relativas a forma e as especificações do fornecimento do produto, estão descritas nos itens 5, 7 e 8 do TERMO DE REFERÊNCIA – ANEXO 1.</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b/>
          <w:bCs/>
          <w:szCs w:val="24"/>
        </w:rPr>
        <w:t>13</w:t>
        <w:tab/>
        <w:t>- RECEBIMENTO E PAGAMENTO</w:t>
      </w:r>
    </w:p>
    <w:p>
      <w:pPr>
        <w:pStyle w:val="Normal"/>
        <w:jc w:val="both"/>
        <w:rPr>
          <w:rFonts w:ascii="Verdana" w:hAnsi="Verdana"/>
          <w:szCs w:val="24"/>
        </w:rPr>
      </w:pPr>
      <w:r>
        <w:rPr>
          <w:rFonts w:ascii="Verdana" w:hAnsi="Verdana"/>
          <w:szCs w:val="24"/>
        </w:rPr>
      </w:r>
    </w:p>
    <w:p>
      <w:pPr>
        <w:pStyle w:val="Normal"/>
        <w:ind w:firstLine="708"/>
        <w:jc w:val="both"/>
        <w:rPr/>
      </w:pPr>
      <w:r>
        <w:rPr>
          <w:rFonts w:ascii="Verdana" w:hAnsi="Verdana"/>
          <w:szCs w:val="24"/>
        </w:rPr>
        <w:t>13.1 - Os pagamentos serão efetuados na forma do item 11 do Termo de Referência.</w:t>
      </w:r>
    </w:p>
    <w:p>
      <w:pPr>
        <w:pStyle w:val="Normal"/>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b/>
          <w:bCs/>
          <w:szCs w:val="24"/>
        </w:rPr>
        <w:t>14</w:t>
        <w:tab/>
        <w:t>- SANÇÕES ADMINISTRATIVAS</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14.1</w:t>
        <w:tab/>
        <w:t>- A empresa licitante deverá observar rigorosamente as condições estabelecidas no edital, sujeitando-se às penalidades constantes no art. 7º da Lei nº 10.520/2002 e nos artigos 86 e 87 da Lei nº 8.666/1993, conforme o disposto:</w:t>
      </w:r>
    </w:p>
    <w:p>
      <w:pPr>
        <w:pStyle w:val="Normal"/>
        <w:ind w:firstLine="708"/>
        <w:rPr>
          <w:rFonts w:ascii="Verdana" w:hAnsi="Verdana"/>
          <w:szCs w:val="24"/>
        </w:rPr>
      </w:pPr>
      <w:r>
        <w:rPr>
          <w:rFonts w:ascii="Verdana" w:hAnsi="Verdana"/>
          <w:szCs w:val="24"/>
        </w:rPr>
      </w:r>
    </w:p>
    <w:p>
      <w:pPr>
        <w:pStyle w:val="ListParagraph"/>
        <w:numPr>
          <w:ilvl w:val="2"/>
          <w:numId w:val="4"/>
        </w:numPr>
        <w:jc w:val="both"/>
        <w:rPr>
          <w:rFonts w:ascii="Verdana" w:hAnsi="Verdana"/>
          <w:szCs w:val="24"/>
        </w:rPr>
      </w:pPr>
      <w:r>
        <w:rPr>
          <w:rFonts w:ascii="Verdana" w:hAnsi="Verdana"/>
          <w:szCs w:val="24"/>
        </w:rPr>
        <w:t xml:space="preserve">  </w:t>
      </w:r>
      <w:r>
        <w:rPr>
          <w:rFonts w:ascii="Verdana" w:hAnsi="Verdana"/>
          <w:szCs w:val="24"/>
        </w:rPr>
        <w:t>0,33% (zero vírgula trinta e três por cento) ao dia, limitado a 10% (dez por cento), incidente sobre o valor da proposta apresentada, nos casos de descumprimento do prazo estipulado no edital para a retirada da Ordem de Fornecimento, atraso quanto ao fornecimento do produto licitado ou pela recusa em prestá-los, calculada pela fórmula M = 0,0033 x C x D. Tendo como correspondente: M = valor da multa, C = valor da obrigação e D = número de dias em atraso;</w:t>
      </w:r>
    </w:p>
    <w:p>
      <w:pPr>
        <w:pStyle w:val="Normal"/>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b)</w:t>
        <w:tab/>
        <w:t>Impedimento do direito de licitar e contratar com a CMCI por um período de até 2 (anos) anos, no caso de apresentação de declaração, documento ou produto falso.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14.2</w:t>
        <w:tab/>
        <w:t>- A aplicação da penalidade de multa não afasta a aplicação da penalidade de impedimento de licitar ou contratar.</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14.3</w:t>
        <w:tab/>
        <w:t>- Caso a CONTRATADA se recuse a receber a Ordem de Fornecimento, a fornecer os produtos objeto desta licitação, a atender ao disposto neste Termo de Referência, aplicar-se-á o previsto no art. 4º, inciso XVI, da Lei nº 10.520/2002, devendo as licitantes remanescentes ser convocadas na ordem de classificação de suas propostas na etapa de lances.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14.4</w:t>
        <w:tab/>
        <w:t>- As sanções administrativas somente serão aplicadas pela CMCI após a devida notificação e o transcurso do prazo estabelecido para a defesa prévia.</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14.5</w:t>
        <w:tab/>
        <w:t>- A notificação deverá ocorrer pessoalmente ou por correspondência com aviso de recebimento, onde será indicada a conduta considerada irregular, a motivação e a espécie de sanção administrativa que se pretende aplicar, o prazo e o local de entrega das razões de defesa.</w:t>
      </w:r>
    </w:p>
    <w:p>
      <w:pPr>
        <w:pStyle w:val="Normal"/>
        <w:rPr>
          <w:rFonts w:ascii="Verdana" w:hAnsi="Verdana"/>
          <w:szCs w:val="24"/>
        </w:rPr>
      </w:pPr>
      <w:r>
        <w:rPr>
          <w:rFonts w:ascii="Verdana" w:hAnsi="Verdana"/>
          <w:szCs w:val="24"/>
        </w:rPr>
      </w:r>
    </w:p>
    <w:p>
      <w:pPr>
        <w:pStyle w:val="Normal"/>
        <w:ind w:firstLine="708"/>
        <w:rPr>
          <w:rFonts w:ascii="Verdana" w:hAnsi="Verdana"/>
          <w:szCs w:val="24"/>
        </w:rPr>
      </w:pPr>
      <w:bookmarkStart w:id="0" w:name="__DdeLink__2968_3573254654"/>
      <w:bookmarkEnd w:id="0"/>
      <w:r>
        <w:rPr>
          <w:rFonts w:ascii="Verdana" w:hAnsi="Verdana"/>
          <w:szCs w:val="24"/>
        </w:rPr>
        <w:t>14.6</w:t>
        <w:tab/>
        <w:t>- O prazo para apresentação de defesa prévia será de 05 (cinco) dias úteis a contar da intimação, onde deverá ser observada a regra de contagem de prazo estabelecida no art. 110 da Lei nº 8.666/1993.</w:t>
      </w:r>
    </w:p>
    <w:p>
      <w:pPr>
        <w:pStyle w:val="Normal"/>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b/>
          <w:bCs/>
          <w:szCs w:val="24"/>
        </w:rPr>
        <w:t>15</w:t>
        <w:tab/>
        <w:t>- DISPOSIÇÕES FINAIS</w:t>
      </w:r>
    </w:p>
    <w:p>
      <w:pPr>
        <w:pStyle w:val="Normal"/>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15.1</w:t>
        <w:tab/>
        <w:t>- É facultado a Pregoeira, em qualquer fase do procedimento, efetuar diligências destinadas a esclarecer ou completar a instrução do processo, sendo vedada às empresas licitantes a juntada posterior de informações ou documentos que deveriam ter sido apresentados para fins de credenciamento, classificação e habilitação.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15.2</w:t>
        <w:tab/>
        <w:t>- É facultada a Pregoeira, em qualquer fase do procedimento, solicitar informações complementares.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15.3</w:t>
        <w:tab/>
        <w:t>- É facultada a Pregoeira solicitar a contribuição de servidores da CMCI para subsidiar a análise técnica de qualquer objeto licitado.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15.4</w:t>
        <w:tab/>
        <w:t>- Cabe a Pregoeira solucionar os casos omissos do edital com base no ordenamento jurídico vigente e nos princípios de Direito Público.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15.5</w:t>
        <w:tab/>
        <w:t>- A empresa licitante é responsável pela veracidade das informações prestadas e dos documentos apresentados em qualquer fase do Pregão, cabendo responsabilização na esfera civil, penal e administrativa pela prática de atos fraudulentos.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15.6</w:t>
        <w:tab/>
        <w:t>- Constituem anexos deste edital, dele fazendo parte:</w:t>
      </w:r>
    </w:p>
    <w:p>
      <w:pPr>
        <w:pStyle w:val="Normal"/>
        <w:ind w:firstLine="708"/>
        <w:jc w:val="both"/>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t>ANEXO 1 – TERMO DE REFERÊNCIA</w:t>
      </w:r>
    </w:p>
    <w:p>
      <w:pPr>
        <w:pStyle w:val="Normal"/>
        <w:ind w:firstLine="708"/>
        <w:rPr>
          <w:rFonts w:ascii="Verdana" w:hAnsi="Verdana"/>
          <w:szCs w:val="24"/>
        </w:rPr>
      </w:pPr>
      <w:r>
        <w:rPr>
          <w:rFonts w:ascii="Verdana" w:hAnsi="Verdana"/>
          <w:szCs w:val="24"/>
        </w:rPr>
        <w:t>ANEXO 2 – TERMO DE CREDENCIAMENTO (MODELO)</w:t>
      </w:r>
    </w:p>
    <w:p>
      <w:pPr>
        <w:pStyle w:val="Normal"/>
        <w:ind w:firstLine="708"/>
        <w:rPr>
          <w:rFonts w:ascii="Verdana" w:hAnsi="Verdana"/>
          <w:szCs w:val="24"/>
        </w:rPr>
      </w:pPr>
      <w:r>
        <w:rPr>
          <w:rFonts w:ascii="Verdana" w:hAnsi="Verdana"/>
          <w:szCs w:val="24"/>
        </w:rPr>
        <w:t xml:space="preserve">ANEXO 3 – DECLARAÇÃO DE MICROEMPRESA E EMPRESA DE PEQUENO PORTE (MODELO) </w:t>
      </w:r>
    </w:p>
    <w:p>
      <w:pPr>
        <w:pStyle w:val="Normal"/>
        <w:ind w:firstLine="708"/>
        <w:rPr>
          <w:rFonts w:ascii="Verdana" w:hAnsi="Verdana"/>
          <w:szCs w:val="24"/>
        </w:rPr>
      </w:pPr>
      <w:r>
        <w:rPr>
          <w:rFonts w:ascii="Verdana" w:hAnsi="Verdana"/>
          <w:szCs w:val="24"/>
        </w:rPr>
        <w:t>ANEXO 4 – DECLARAÇÃO DE ATENDIMENTO DAS EXIGÊNCIAS HABILITATÓRIAS (MODELO)</w:t>
      </w:r>
    </w:p>
    <w:p>
      <w:pPr>
        <w:pStyle w:val="Normal"/>
        <w:ind w:firstLine="708"/>
        <w:rPr>
          <w:rFonts w:ascii="Verdana" w:hAnsi="Verdana"/>
          <w:szCs w:val="24"/>
        </w:rPr>
      </w:pPr>
      <w:r>
        <w:rPr>
          <w:rFonts w:ascii="Verdana" w:hAnsi="Verdana"/>
          <w:szCs w:val="24"/>
        </w:rPr>
        <w:t xml:space="preserve"> </w:t>
      </w:r>
      <w:r>
        <w:rPr>
          <w:rFonts w:ascii="Verdana" w:hAnsi="Verdana"/>
          <w:szCs w:val="24"/>
        </w:rPr>
        <w:t>ANEXO 5 – DECLARAÇÃO DE FATOS IMPEDITIVOS (MODELO)</w:t>
      </w:r>
    </w:p>
    <w:p>
      <w:pPr>
        <w:pStyle w:val="Normal"/>
        <w:ind w:firstLine="708"/>
        <w:rPr>
          <w:rFonts w:ascii="Verdana" w:hAnsi="Verdana"/>
          <w:szCs w:val="24"/>
        </w:rPr>
      </w:pPr>
      <w:r>
        <w:rPr>
          <w:rFonts w:ascii="Verdana" w:hAnsi="Verdana"/>
          <w:szCs w:val="24"/>
        </w:rPr>
        <w:t>ANEXO 6 - PROPOSTA</w:t>
      </w:r>
    </w:p>
    <w:p>
      <w:pPr>
        <w:pStyle w:val="Normal"/>
        <w:ind w:firstLine="708"/>
        <w:rPr>
          <w:rFonts w:ascii="Verdana" w:hAnsi="Verdana"/>
          <w:szCs w:val="24"/>
        </w:rPr>
      </w:pPr>
      <w:r>
        <w:rPr>
          <w:rFonts w:ascii="Verdana" w:hAnsi="Verdana"/>
          <w:szCs w:val="24"/>
        </w:rPr>
        <w:t xml:space="preserve">ANEXO 7 </w:t>
      </w:r>
    </w:p>
    <w:p>
      <w:pPr>
        <w:pStyle w:val="Normal"/>
        <w:ind w:firstLine="708"/>
        <w:jc w:val="center"/>
        <w:rPr>
          <w:rFonts w:ascii="Verdana" w:hAnsi="Verdana"/>
          <w:szCs w:val="24"/>
        </w:rPr>
      </w:pPr>
      <w:r>
        <w:rPr>
          <w:rFonts w:ascii="Verdana" w:hAnsi="Verdana"/>
          <w:szCs w:val="24"/>
        </w:rPr>
      </w:r>
    </w:p>
    <w:p>
      <w:pPr>
        <w:pStyle w:val="Normal"/>
        <w:ind w:firstLine="708"/>
        <w:jc w:val="center"/>
        <w:rPr/>
      </w:pPr>
      <w:r>
        <w:rPr>
          <w:rFonts w:ascii="Verdana" w:hAnsi="Verdana"/>
          <w:szCs w:val="24"/>
        </w:rPr>
        <w:t xml:space="preserve">Cachoeiro de Itapemirim, </w:t>
      </w:r>
      <w:r>
        <w:rPr>
          <w:rFonts w:ascii="Verdana" w:hAnsi="Verdana"/>
          <w:szCs w:val="24"/>
        </w:rPr>
        <w:t>12</w:t>
      </w:r>
      <w:r>
        <w:rPr>
          <w:rFonts w:ascii="Verdana" w:hAnsi="Verdana"/>
          <w:szCs w:val="24"/>
        </w:rPr>
        <w:t xml:space="preserve"> de </w:t>
      </w:r>
      <w:r>
        <w:rPr>
          <w:rFonts w:ascii="Verdana" w:hAnsi="Verdana"/>
          <w:szCs w:val="24"/>
        </w:rPr>
        <w:t>Dezembro</w:t>
      </w:r>
      <w:r>
        <w:rPr>
          <w:rFonts w:ascii="Verdana" w:hAnsi="Verdana"/>
          <w:szCs w:val="24"/>
        </w:rPr>
        <w:t xml:space="preserve"> de 2018.</w:t>
      </w:r>
    </w:p>
    <w:p>
      <w:pPr>
        <w:pStyle w:val="Normal"/>
        <w:ind w:firstLine="708"/>
        <w:jc w:val="center"/>
        <w:rPr>
          <w:rFonts w:ascii="Verdana" w:hAnsi="Verdana"/>
          <w:szCs w:val="24"/>
        </w:rPr>
      </w:pPr>
      <w:r>
        <w:rPr>
          <w:rFonts w:ascii="Verdana" w:hAnsi="Verdana"/>
          <w:szCs w:val="24"/>
        </w:rPr>
      </w:r>
    </w:p>
    <w:p>
      <w:pPr>
        <w:pStyle w:val="Normal"/>
        <w:ind w:firstLine="708"/>
        <w:jc w:val="center"/>
        <w:rPr>
          <w:rFonts w:ascii="Verdana" w:hAnsi="Verdana"/>
          <w:szCs w:val="24"/>
        </w:rPr>
      </w:pPr>
      <w:r>
        <w:rPr>
          <w:rFonts w:ascii="Verdana" w:hAnsi="Verdana"/>
          <w:szCs w:val="24"/>
        </w:rPr>
      </w:r>
    </w:p>
    <w:p>
      <w:pPr>
        <w:pStyle w:val="Normal"/>
        <w:ind w:firstLine="708"/>
        <w:jc w:val="center"/>
        <w:rPr>
          <w:rFonts w:ascii="Verdana" w:hAnsi="Verdana"/>
          <w:szCs w:val="24"/>
        </w:rPr>
      </w:pPr>
      <w:r>
        <w:rPr>
          <w:rFonts w:ascii="Verdana" w:hAnsi="Verdana"/>
          <w:szCs w:val="24"/>
        </w:rPr>
        <w:t xml:space="preserve"> </w:t>
      </w:r>
      <w:r>
        <w:rPr>
          <w:rFonts w:ascii="Verdana" w:hAnsi="Verdana"/>
          <w:szCs w:val="24"/>
        </w:rPr>
        <w:t>ROSA DE LIMA CANSOLI HEMERLY</w:t>
      </w:r>
    </w:p>
    <w:p>
      <w:pPr>
        <w:pStyle w:val="Normal"/>
        <w:ind w:left="3540" w:firstLine="708"/>
        <w:rPr>
          <w:rFonts w:ascii="Verdana" w:hAnsi="Verdana"/>
          <w:szCs w:val="24"/>
        </w:rPr>
      </w:pPr>
      <w:r>
        <w:rPr>
          <w:rFonts w:ascii="Verdana" w:hAnsi="Verdana"/>
          <w:szCs w:val="24"/>
        </w:rPr>
        <w:t>PREGOEIRA OFICIAL DA CMCI</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jc w:val="center"/>
        <w:rPr>
          <w:rFonts w:ascii="Verdana" w:hAnsi="Verdana"/>
          <w:b/>
          <w:b/>
          <w:szCs w:val="24"/>
        </w:rPr>
      </w:pPr>
      <w:r>
        <w:rPr>
          <w:rFonts w:ascii="Verdana" w:hAnsi="Verdana"/>
          <w:b/>
          <w:szCs w:val="24"/>
        </w:rPr>
        <w:t>ANEXO I TERMO DE REFERÊNCIA</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 xml:space="preserve">PREGÃO PRESENCIAL Nº </w:t>
      </w:r>
      <w:r>
        <w:rPr>
          <w:rFonts w:ascii="Verdana" w:hAnsi="Verdana"/>
          <w:szCs w:val="24"/>
        </w:rPr>
        <w:t>17</w:t>
      </w:r>
      <w:r>
        <w:rPr>
          <w:rFonts w:ascii="Verdana" w:hAnsi="Verdana"/>
          <w:szCs w:val="24"/>
        </w:rPr>
        <w:t>/2018</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 DA DESCRIÇÃO DO(S) OBJETO(S)</w:t>
      </w:r>
    </w:p>
    <w:p>
      <w:pPr>
        <w:pStyle w:val="Normal"/>
        <w:ind w:firstLine="708"/>
        <w:jc w:val="both"/>
        <w:rPr/>
      </w:pPr>
      <w:r>
        <w:rPr>
          <w:rFonts w:ascii="Verdana" w:hAnsi="Verdana"/>
          <w:szCs w:val="24"/>
        </w:rPr>
        <w:t>1.1  - Aquisição de Serviços Gráficos. (capas de processos, envelopes e blocos de anotações)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2. DO OBJETIVO</w:t>
      </w:r>
    </w:p>
    <w:p>
      <w:pPr>
        <w:pStyle w:val="Normal"/>
        <w:ind w:firstLine="708"/>
        <w:jc w:val="both"/>
        <w:rPr>
          <w:rFonts w:ascii="Verdana" w:hAnsi="Verdana"/>
          <w:szCs w:val="24"/>
        </w:rPr>
      </w:pPr>
      <w:r>
        <w:rPr>
          <w:rFonts w:ascii="Verdana" w:hAnsi="Verdana"/>
          <w:szCs w:val="24"/>
        </w:rPr>
        <w:t>2.1  - Manter o nível do estoque do Almoxarifado, conforme histórico de demanda dos produtos.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3. DA JUSTIFICATIVA</w:t>
      </w:r>
    </w:p>
    <w:p>
      <w:pPr>
        <w:pStyle w:val="Normal"/>
        <w:ind w:firstLine="708"/>
        <w:jc w:val="both"/>
        <w:rPr>
          <w:rFonts w:ascii="Verdana" w:hAnsi="Verdana"/>
          <w:szCs w:val="24"/>
        </w:rPr>
      </w:pPr>
      <w:r>
        <w:rPr>
          <w:rFonts w:ascii="Verdana" w:hAnsi="Verdana"/>
          <w:szCs w:val="24"/>
        </w:rPr>
        <w:t>3.1 - Suprir prontamente às necessidades do administrativo e ainda os gabinetes dos Edis desta Casa de Leis com economia e qualidade.</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4. DAS ESPECIFICAÇÕES E QUANTIDADES</w:t>
      </w:r>
    </w:p>
    <w:tbl>
      <w:tblPr>
        <w:tblW w:w="9400" w:type="dxa"/>
        <w:jc w:val="center"/>
        <w:tblInd w:w="0" w:type="dxa"/>
        <w:tblBorders/>
        <w:tblCellMar>
          <w:top w:w="0" w:type="dxa"/>
          <w:left w:w="70" w:type="dxa"/>
          <w:bottom w:w="0" w:type="dxa"/>
          <w:right w:w="70" w:type="dxa"/>
        </w:tblCellMar>
        <w:tblLook w:firstRow="0" w:noVBand="0" w:lastRow="0" w:firstColumn="0" w:lastColumn="0" w:noHBand="0" w:val="0000"/>
      </w:tblPr>
      <w:tblGrid>
        <w:gridCol w:w="840"/>
        <w:gridCol w:w="6089"/>
        <w:gridCol w:w="1155"/>
        <w:gridCol w:w="1315"/>
      </w:tblGrid>
      <w:tr>
        <w:trPr>
          <w:trHeight w:val="255" w:hRule="atLeast"/>
        </w:trPr>
        <w:tc>
          <w:tcPr>
            <w:tcW w:w="840" w:type="dxa"/>
            <w:tcBorders/>
            <w:shd w:fill="auto" w:val="clear"/>
            <w:vAlign w:val="bottom"/>
          </w:tcPr>
          <w:p>
            <w:pPr>
              <w:pStyle w:val="Normal"/>
              <w:snapToGrid w:val="false"/>
              <w:spacing w:before="0" w:after="160"/>
              <w:jc w:val="both"/>
              <w:rPr>
                <w:rFonts w:ascii="Arial" w:hAnsi="Arial" w:cs="Arial"/>
                <w:sz w:val="20"/>
                <w:szCs w:val="20"/>
              </w:rPr>
            </w:pPr>
            <w:r>
              <w:rPr>
                <w:rFonts w:ascii="Verdana" w:hAnsi="Verdana"/>
                <w:szCs w:val="24"/>
              </w:rPr>
              <w:t xml:space="preserve">4.1 – </w:t>
            </w:r>
          </w:p>
        </w:tc>
        <w:tc>
          <w:tcPr>
            <w:tcW w:w="6089" w:type="dxa"/>
            <w:tcBorders/>
            <w:shd w:fill="auto" w:val="clear"/>
            <w:vAlign w:val="bottom"/>
          </w:tcPr>
          <w:p>
            <w:pPr>
              <w:pStyle w:val="Normal"/>
              <w:snapToGrid w:val="false"/>
              <w:spacing w:before="0" w:after="160"/>
              <w:jc w:val="both"/>
              <w:rPr>
                <w:rFonts w:ascii="Arial" w:hAnsi="Arial" w:cs="Arial"/>
                <w:sz w:val="20"/>
                <w:szCs w:val="20"/>
              </w:rPr>
            </w:pPr>
            <w:r>
              <w:rPr>
                <w:rFonts w:cs="Arial" w:ascii="Arial" w:hAnsi="Arial"/>
                <w:sz w:val="20"/>
                <w:szCs w:val="20"/>
              </w:rPr>
            </w:r>
          </w:p>
        </w:tc>
        <w:tc>
          <w:tcPr>
            <w:tcW w:w="1155" w:type="dxa"/>
            <w:tcBorders/>
            <w:shd w:fill="auto" w:val="clear"/>
            <w:vAlign w:val="bottom"/>
          </w:tcPr>
          <w:p>
            <w:pPr>
              <w:pStyle w:val="Normal"/>
              <w:snapToGrid w:val="false"/>
              <w:spacing w:before="0" w:after="160"/>
              <w:jc w:val="both"/>
              <w:rPr>
                <w:rFonts w:ascii="Arial" w:hAnsi="Arial" w:cs="Arial"/>
                <w:sz w:val="20"/>
                <w:szCs w:val="20"/>
              </w:rPr>
            </w:pPr>
            <w:r>
              <w:rPr>
                <w:rFonts w:cs="Arial" w:ascii="Arial" w:hAnsi="Arial"/>
                <w:sz w:val="20"/>
                <w:szCs w:val="20"/>
              </w:rPr>
            </w:r>
          </w:p>
        </w:tc>
        <w:tc>
          <w:tcPr>
            <w:tcW w:w="1315" w:type="dxa"/>
            <w:tcBorders/>
            <w:shd w:fill="auto" w:val="clear"/>
            <w:vAlign w:val="bottom"/>
          </w:tcPr>
          <w:p>
            <w:pPr>
              <w:pStyle w:val="Normal"/>
              <w:snapToGrid w:val="false"/>
              <w:spacing w:before="0" w:after="160"/>
              <w:jc w:val="both"/>
              <w:rPr>
                <w:rFonts w:ascii="Arial" w:hAnsi="Arial" w:cs="Arial"/>
                <w:sz w:val="20"/>
                <w:szCs w:val="20"/>
              </w:rPr>
            </w:pPr>
            <w:r>
              <w:rPr>
                <w:rFonts w:cs="Arial" w:ascii="Arial" w:hAnsi="Arial"/>
                <w:sz w:val="20"/>
                <w:szCs w:val="20"/>
              </w:rPr>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ITENS</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b/>
                <w:b/>
                <w:color w:val="000000"/>
                <w:sz w:val="21"/>
                <w:szCs w:val="21"/>
              </w:rPr>
            </w:pPr>
            <w:r>
              <w:rPr>
                <w:rFonts w:cs="Arial" w:ascii="Arial" w:hAnsi="Arial"/>
                <w:b/>
                <w:color w:val="000000"/>
                <w:sz w:val="21"/>
                <w:szCs w:val="21"/>
              </w:rPr>
              <w:t>DESCRIÇÃO DO OBJETO</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QTDE</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1</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Envelope 18x24 timbrado</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color w:val="000000"/>
                <w:sz w:val="21"/>
                <w:szCs w:val="21"/>
              </w:rPr>
              <w:t>1.500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r>
        <w:trPr>
          <w:trHeight w:val="94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2</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Envelope 11x23 timbrado</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1.000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3</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 xml:space="preserve">Capas de processo tesouraria, </w:t>
            </w:r>
            <w:r>
              <w:rPr>
                <w:rFonts w:cs="Arial" w:ascii="Arial" w:hAnsi="Arial"/>
                <w:b/>
                <w:bCs/>
                <w:color w:val="000000"/>
                <w:sz w:val="21"/>
                <w:szCs w:val="21"/>
              </w:rPr>
              <w:t>com trilho de metal incluso</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color w:val="000000"/>
                <w:sz w:val="21"/>
                <w:szCs w:val="21"/>
              </w:rPr>
              <w:t>1.000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5</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Capas de processo amarela</w:t>
            </w:r>
            <w:r>
              <w:rPr>
                <w:rFonts w:cs="Arial" w:ascii="Arial" w:hAnsi="Arial"/>
                <w:color w:val="000000"/>
                <w:sz w:val="21"/>
                <w:szCs w:val="21"/>
              </w:rPr>
              <w:t>,</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color w:val="000000"/>
                <w:sz w:val="21"/>
                <w:szCs w:val="21"/>
              </w:rPr>
              <w:t>500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6</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Capas de processo azul</w:t>
            </w:r>
            <w:r>
              <w:rPr>
                <w:rFonts w:cs="Arial" w:ascii="Arial" w:hAnsi="Arial"/>
                <w:color w:val="000000"/>
                <w:sz w:val="21"/>
                <w:szCs w:val="21"/>
              </w:rPr>
              <w:t xml:space="preserve">, </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color w:val="000000"/>
                <w:sz w:val="21"/>
                <w:szCs w:val="21"/>
              </w:rPr>
              <w:t>500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r>
        <w:trPr>
          <w:trHeight w:val="94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7</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b/>
                <w:b/>
                <w:bCs/>
                <w:sz w:val="21"/>
                <w:szCs w:val="21"/>
              </w:rPr>
            </w:pPr>
            <w:r>
              <w:rPr>
                <w:rFonts w:cs="Arial" w:ascii="Arial" w:hAnsi="Arial"/>
                <w:b/>
                <w:bCs/>
                <w:color w:val="000000"/>
                <w:sz w:val="21"/>
                <w:szCs w:val="21"/>
              </w:rPr>
              <w:t>Pasta do Cerimonial</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color w:val="000000"/>
                <w:sz w:val="21"/>
                <w:szCs w:val="21"/>
              </w:rPr>
              <w:t>1.000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r>
        <w:trPr>
          <w:trHeight w:val="31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8</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pPr>
            <w:r>
              <w:rPr>
                <w:rFonts w:cs="Arial" w:ascii="Arial" w:hAnsi="Arial"/>
                <w:b/>
                <w:color w:val="000000"/>
                <w:sz w:val="21"/>
                <w:szCs w:val="21"/>
              </w:rPr>
              <w:t>Capas de processo verde</w:t>
            </w:r>
            <w:r>
              <w:rPr>
                <w:rFonts w:cs="Arial" w:ascii="Arial" w:hAnsi="Arial"/>
                <w:color w:val="000000"/>
                <w:sz w:val="21"/>
                <w:szCs w:val="21"/>
              </w:rPr>
              <w:t xml:space="preserve">, </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color w:val="000000"/>
                <w:sz w:val="21"/>
                <w:szCs w:val="21"/>
              </w:rPr>
              <w:t>1.000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r>
        <w:trPr>
          <w:trHeight w:val="31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9</w:t>
            </w:r>
          </w:p>
        </w:tc>
        <w:tc>
          <w:tcPr>
            <w:tcW w:w="6089"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bookmarkStart w:id="1" w:name="__DdeLink__5091_3447586427"/>
            <w:r>
              <w:rPr>
                <w:rFonts w:cs="Arial" w:ascii="Arial" w:hAnsi="Arial"/>
                <w:b/>
                <w:color w:val="000000"/>
                <w:sz w:val="21"/>
                <w:szCs w:val="21"/>
              </w:rPr>
              <w:t>Bloco folha timbrada</w:t>
            </w:r>
            <w:r>
              <w:rPr>
                <w:rFonts w:cs="Arial" w:ascii="Arial" w:hAnsi="Arial"/>
                <w:color w:val="000000"/>
                <w:sz w:val="21"/>
                <w:szCs w:val="21"/>
              </w:rPr>
              <w:t xml:space="preserve">  </w:t>
            </w:r>
            <w:r>
              <w:rPr>
                <w:rFonts w:cs="Arial" w:ascii="Arial" w:hAnsi="Arial"/>
                <w:b/>
                <w:bCs/>
                <w:color w:val="000000"/>
                <w:sz w:val="21"/>
                <w:szCs w:val="21"/>
              </w:rPr>
              <w:t xml:space="preserve">- </w:t>
            </w:r>
            <w:bookmarkEnd w:id="1"/>
            <w:r>
              <w:rPr>
                <w:rFonts w:cs="Arial" w:ascii="Arial" w:hAnsi="Arial"/>
                <w:b/>
                <w:bCs/>
                <w:color w:val="000000"/>
                <w:sz w:val="21"/>
                <w:szCs w:val="21"/>
              </w:rPr>
              <w:t>50 folhas</w:t>
            </w:r>
          </w:p>
        </w:tc>
        <w:tc>
          <w:tcPr>
            <w:tcW w:w="1155"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color w:val="000000"/>
                <w:sz w:val="21"/>
                <w:szCs w:val="21"/>
              </w:rPr>
              <w:t>100</w:t>
            </w:r>
          </w:p>
        </w:tc>
        <w:tc>
          <w:tcPr>
            <w:tcW w:w="131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both"/>
              <w:rPr>
                <w:rFonts w:ascii="Arial" w:hAnsi="Arial" w:cs="Arial"/>
                <w:color w:val="000000"/>
                <w:sz w:val="21"/>
                <w:szCs w:val="21"/>
              </w:rPr>
            </w:pPr>
            <w:r>
              <w:rPr>
                <w:rFonts w:cs="Arial" w:ascii="Arial" w:hAnsi="Arial"/>
                <w:color w:val="000000"/>
                <w:sz w:val="21"/>
                <w:szCs w:val="21"/>
              </w:rPr>
              <w:t>unid</w:t>
            </w:r>
          </w:p>
        </w:tc>
      </w:tr>
    </w:tbl>
    <w:p>
      <w:pPr>
        <w:pStyle w:val="Normal"/>
        <w:jc w:val="both"/>
        <w:rPr>
          <w:rFonts w:ascii="Arial" w:hAnsi="Arial" w:cs="Arial"/>
        </w:rPr>
      </w:pPr>
      <w:r>
        <w:rPr>
          <w:rFonts w:cs="Arial" w:ascii="Arial" w:hAnsi="Arial"/>
        </w:rPr>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5. DO FORNECIMENTO DO(S) PRODUTO(S)</w:t>
      </w:r>
    </w:p>
    <w:p>
      <w:pPr>
        <w:pStyle w:val="Normal"/>
        <w:ind w:firstLine="708"/>
        <w:jc w:val="both"/>
        <w:rPr>
          <w:rFonts w:ascii="Verdana" w:hAnsi="Verdana"/>
          <w:szCs w:val="24"/>
        </w:rPr>
      </w:pPr>
      <w:r>
        <w:rPr>
          <w:rFonts w:ascii="Verdana" w:hAnsi="Verdana"/>
          <w:szCs w:val="24"/>
        </w:rPr>
        <w:tab/>
        <w:t>5.1 O fornecimento será parcelado no setor do Almoxarifado da Câmara Municipal de Cachoeiro de Itapemirim de acordo com a necessidade.</w:t>
      </w:r>
    </w:p>
    <w:p>
      <w:pPr>
        <w:pStyle w:val="Normal"/>
        <w:ind w:firstLine="708"/>
        <w:jc w:val="both"/>
        <w:rPr>
          <w:rFonts w:ascii="Verdana" w:hAnsi="Verdana"/>
          <w:szCs w:val="24"/>
        </w:rPr>
      </w:pPr>
      <w:r>
        <w:rPr>
          <w:rFonts w:ascii="Verdana" w:hAnsi="Verdana"/>
          <w:szCs w:val="24"/>
        </w:rPr>
        <w:tab/>
      </w:r>
    </w:p>
    <w:p>
      <w:pPr>
        <w:pStyle w:val="Normal"/>
        <w:ind w:firstLine="708"/>
        <w:jc w:val="both"/>
        <w:rPr>
          <w:rFonts w:ascii="Verdana" w:hAnsi="Verdana"/>
          <w:szCs w:val="24"/>
        </w:rPr>
      </w:pPr>
      <w:r>
        <w:rPr>
          <w:rFonts w:ascii="Verdana" w:hAnsi="Verdana"/>
          <w:szCs w:val="24"/>
        </w:rPr>
        <w:t>6. DA GARANTIA</w:t>
      </w:r>
    </w:p>
    <w:p>
      <w:pPr>
        <w:pStyle w:val="Normal"/>
        <w:ind w:firstLine="708"/>
        <w:jc w:val="both"/>
        <w:rPr>
          <w:rFonts w:ascii="Verdana" w:hAnsi="Verdana"/>
          <w:szCs w:val="24"/>
        </w:rPr>
      </w:pPr>
      <w:r>
        <w:rPr>
          <w:rFonts w:ascii="Verdana" w:hAnsi="Verdana"/>
          <w:szCs w:val="24"/>
        </w:rPr>
        <w:t>6.1 - Durante o prazo de validade a CONTRATADA fica obrigada a substituir os produtos sempre que  houver vício, no prazo 05 (cinco) dias úteis, a contar da data de notificação do problema, sem ônus para o CONTRATANTE</w:t>
      </w:r>
    </w:p>
    <w:p>
      <w:pPr>
        <w:pStyle w:val="Normal"/>
        <w:ind w:firstLine="708"/>
        <w:jc w:val="both"/>
        <w:rPr>
          <w:rFonts w:ascii="Verdana" w:hAnsi="Verdana"/>
          <w:szCs w:val="24"/>
        </w:rPr>
      </w:pPr>
      <w:r>
        <w:rPr>
          <w:rFonts w:ascii="Verdana" w:hAnsi="Verdana"/>
          <w:szCs w:val="24"/>
        </w:rPr>
        <w:t>6.2 - Durante o período de validade a CONTRATADA deverá assumir os custos de devolução/frete.</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7. DOS PROCEDIMENTOS DE FISCALIZAÇÃO</w:t>
      </w:r>
    </w:p>
    <w:p>
      <w:pPr>
        <w:pStyle w:val="Normal"/>
        <w:ind w:firstLine="708"/>
        <w:jc w:val="both"/>
        <w:rPr>
          <w:rFonts w:ascii="Verdana" w:hAnsi="Verdana"/>
          <w:szCs w:val="24"/>
        </w:rPr>
      </w:pPr>
      <w:r>
        <w:rPr>
          <w:rFonts w:ascii="Verdana" w:hAnsi="Verdana"/>
          <w:szCs w:val="24"/>
        </w:rPr>
        <w:tab/>
        <w:t>a) A CMCI designará, formalmente, um servidor para acompanhar a fiscalização do contrato através de Portaria devidamente publicada no Diário Oficial do Município.</w:t>
      </w:r>
    </w:p>
    <w:p>
      <w:pPr>
        <w:pStyle w:val="Normal"/>
        <w:ind w:firstLine="708"/>
        <w:jc w:val="both"/>
        <w:rPr/>
      </w:pPr>
      <w:r>
        <w:rPr>
          <w:rFonts w:ascii="Verdana" w:hAnsi="Verdana"/>
          <w:szCs w:val="24"/>
        </w:rPr>
        <w:tab/>
        <w:t>b) A fiscalização será exercida no interesse exclusivo da CMCI e não exclui nem reduz a responsabilidade da CONTRATADA por qualquer inconsistência.</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8. DAS OBRIGAÇÕES E RESPONSABILIDADES DA CONTRATADA</w:t>
      </w:r>
    </w:p>
    <w:p>
      <w:pPr>
        <w:pStyle w:val="Normal"/>
        <w:ind w:firstLine="708"/>
        <w:jc w:val="both"/>
        <w:rPr>
          <w:rFonts w:ascii="Verdana" w:hAnsi="Verdana"/>
          <w:szCs w:val="24"/>
        </w:rPr>
      </w:pPr>
      <w:r>
        <w:rPr>
          <w:rFonts w:ascii="Verdana" w:hAnsi="Verdana"/>
          <w:szCs w:val="24"/>
        </w:rPr>
        <w:tab/>
        <w:t>a) Entregar os produtos de acordo com as condições e prazos estabelecidos neste Termo de Referência;</w:t>
      </w:r>
    </w:p>
    <w:p>
      <w:pPr>
        <w:pStyle w:val="Normal"/>
        <w:ind w:firstLine="708"/>
        <w:jc w:val="both"/>
        <w:rPr>
          <w:rFonts w:ascii="Verdana" w:hAnsi="Verdana"/>
          <w:szCs w:val="24"/>
        </w:rPr>
      </w:pPr>
      <w:r>
        <w:rPr>
          <w:rFonts w:ascii="Verdana" w:hAnsi="Verdana"/>
          <w:szCs w:val="24"/>
        </w:rPr>
        <w:tab/>
        <w:t>b) Providenciar a imediata correção das deficiências apontadas pelo setor competente da CMCI;</w:t>
      </w:r>
    </w:p>
    <w:p>
      <w:pPr>
        <w:pStyle w:val="Normal"/>
        <w:ind w:firstLine="708"/>
        <w:jc w:val="both"/>
        <w:rPr>
          <w:rFonts w:ascii="Verdana" w:hAnsi="Verdana"/>
          <w:szCs w:val="24"/>
        </w:rPr>
      </w:pPr>
      <w:r>
        <w:rPr>
          <w:rFonts w:ascii="Verdana" w:hAnsi="Verdana"/>
          <w:szCs w:val="24"/>
        </w:rPr>
        <w:tab/>
      </w:r>
    </w:p>
    <w:p>
      <w:pPr>
        <w:pStyle w:val="Normal"/>
        <w:ind w:firstLine="708"/>
        <w:jc w:val="both"/>
        <w:rPr>
          <w:rFonts w:ascii="Verdana" w:hAnsi="Verdana"/>
          <w:szCs w:val="24"/>
        </w:rPr>
      </w:pPr>
      <w:r>
        <w:rPr>
          <w:rFonts w:ascii="Verdana" w:hAnsi="Verdana"/>
          <w:szCs w:val="24"/>
        </w:rPr>
        <w:tab/>
        <w:t>c) Prestar todos os esclarecimentos solicitados pelo CONTRATANTE, atendendo prontamente a todas as reclamações;</w:t>
      </w:r>
    </w:p>
    <w:p>
      <w:pPr>
        <w:pStyle w:val="Normal"/>
        <w:ind w:firstLine="708"/>
        <w:jc w:val="both"/>
        <w:rPr>
          <w:rFonts w:ascii="Verdana" w:hAnsi="Verdana"/>
          <w:szCs w:val="24"/>
        </w:rPr>
      </w:pPr>
      <w:r>
        <w:rPr>
          <w:rFonts w:ascii="Verdana" w:hAnsi="Verdana"/>
          <w:szCs w:val="24"/>
        </w:rPr>
        <w:tab/>
      </w:r>
    </w:p>
    <w:p>
      <w:pPr>
        <w:pStyle w:val="Normal"/>
        <w:ind w:firstLine="708"/>
        <w:jc w:val="both"/>
        <w:rPr>
          <w:rFonts w:ascii="Verdana" w:hAnsi="Verdana"/>
          <w:szCs w:val="24"/>
        </w:rPr>
      </w:pPr>
      <w:r>
        <w:rPr>
          <w:rFonts w:ascii="Verdana" w:hAnsi="Verdana"/>
          <w:szCs w:val="24"/>
        </w:rPr>
        <w:tab/>
        <w:t>d) Manter, durante toda a execução do contrato, a compatibilidade com as obrigações assumidas, conforme dispõe o inciso XIII, do artigo 55, da Lei nº 8.666/1993.</w:t>
      </w:r>
    </w:p>
    <w:p>
      <w:pPr>
        <w:pStyle w:val="Normal"/>
        <w:ind w:firstLine="708"/>
        <w:jc w:val="both"/>
        <w:rPr>
          <w:rFonts w:ascii="Verdana" w:hAnsi="Verdana"/>
          <w:szCs w:val="24"/>
        </w:rPr>
      </w:pPr>
      <w:r>
        <w:rPr>
          <w:rFonts w:ascii="Verdana" w:hAnsi="Verdana"/>
          <w:szCs w:val="24"/>
        </w:rPr>
        <w:tab/>
        <w:t>e) Observar as prescrições relativas às leis trabalhistas, previdenciárias, fiscais, seguros e quaisquer outras não mencionadas, bem como pagamento de todo e qualquer tributo que seja devido em decorrência direta do contrato, isentando o CONTRATANTE de qualquer responsabilidade;</w:t>
      </w:r>
    </w:p>
    <w:p>
      <w:pPr>
        <w:pStyle w:val="Normal"/>
        <w:ind w:firstLine="708"/>
        <w:jc w:val="both"/>
        <w:rPr>
          <w:rFonts w:ascii="Verdana" w:hAnsi="Verdana"/>
          <w:szCs w:val="24"/>
        </w:rPr>
      </w:pPr>
      <w:r>
        <w:rPr>
          <w:rFonts w:ascii="Verdana" w:hAnsi="Verdana"/>
          <w:szCs w:val="24"/>
        </w:rPr>
        <w:tab/>
        <w:t>f) Apresentar Nota Fiscal Eletrônica.</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9. DAS OBRIGAÇÕES E RESPONSABILIDADES DO CONTRATANTE</w:t>
      </w:r>
    </w:p>
    <w:p>
      <w:pPr>
        <w:pStyle w:val="Normal"/>
        <w:ind w:firstLine="708"/>
        <w:jc w:val="both"/>
        <w:rPr>
          <w:rFonts w:ascii="Verdana" w:hAnsi="Verdana"/>
          <w:szCs w:val="24"/>
        </w:rPr>
      </w:pPr>
      <w:r>
        <w:rPr>
          <w:rFonts w:ascii="Verdana" w:hAnsi="Verdana"/>
          <w:szCs w:val="24"/>
        </w:rPr>
        <w:tab/>
        <w:t>a) Proporcionar todas as facilidades, inclusive esclarecimentos atinentes ao objeto deste Termo de Referência, para que a empresa possa cumprir as obrigações dentro das normas e condições da aquisição;</w:t>
      </w:r>
    </w:p>
    <w:p>
      <w:pPr>
        <w:pStyle w:val="Normal"/>
        <w:ind w:firstLine="708"/>
        <w:jc w:val="both"/>
        <w:rPr>
          <w:rFonts w:ascii="Verdana" w:hAnsi="Verdana"/>
          <w:szCs w:val="24"/>
        </w:rPr>
      </w:pPr>
      <w:r>
        <w:rPr>
          <w:rFonts w:ascii="Verdana" w:hAnsi="Verdana"/>
          <w:szCs w:val="24"/>
        </w:rPr>
        <w:tab/>
        <w:t>b) Designar servidor com competência necessária para promover o recebimento do produto, sob os aspectos quantitativos e qualitativos, assim como prazo de validade e entrega;</w:t>
      </w:r>
    </w:p>
    <w:p>
      <w:pPr>
        <w:pStyle w:val="Normal"/>
        <w:ind w:firstLine="708"/>
        <w:jc w:val="both"/>
        <w:rPr>
          <w:rFonts w:ascii="Verdana" w:hAnsi="Verdana"/>
          <w:szCs w:val="24"/>
        </w:rPr>
      </w:pPr>
      <w:r>
        <w:rPr>
          <w:rFonts w:ascii="Verdana" w:hAnsi="Verdana"/>
          <w:szCs w:val="24"/>
        </w:rPr>
        <w:tab/>
        <w:t>c) Cumprir todos os compromissos financeiros assumidos com a CONTRATADA no prazo estipulado;</w:t>
      </w:r>
    </w:p>
    <w:p>
      <w:pPr>
        <w:pStyle w:val="Normal"/>
        <w:ind w:firstLine="708"/>
        <w:jc w:val="both"/>
        <w:rPr>
          <w:rFonts w:ascii="Verdana" w:hAnsi="Verdana"/>
          <w:szCs w:val="24"/>
        </w:rPr>
      </w:pPr>
      <w:r>
        <w:rPr>
          <w:rFonts w:ascii="Verdana" w:hAnsi="Verdana"/>
          <w:szCs w:val="24"/>
        </w:rPr>
        <w:tab/>
        <w:t>d) Cumprir e fazer cumprir todas as disposições contidas neste Termo de Referência;</w:t>
      </w:r>
    </w:p>
    <w:p>
      <w:pPr>
        <w:pStyle w:val="Normal"/>
        <w:ind w:firstLine="708"/>
        <w:jc w:val="both"/>
        <w:rPr>
          <w:rFonts w:ascii="Verdana" w:hAnsi="Verdana"/>
          <w:szCs w:val="24"/>
        </w:rPr>
      </w:pPr>
      <w:r>
        <w:rPr>
          <w:rFonts w:ascii="Verdana" w:hAnsi="Verdana"/>
          <w:szCs w:val="24"/>
        </w:rPr>
        <w:tab/>
        <w:t>e) Alocar os recursos orçamentários e financeiros necessários à execução da contratação;</w:t>
      </w:r>
    </w:p>
    <w:p>
      <w:pPr>
        <w:pStyle w:val="Normal"/>
        <w:ind w:firstLine="708"/>
        <w:jc w:val="both"/>
        <w:rPr>
          <w:rFonts w:ascii="Verdana" w:hAnsi="Verdana"/>
          <w:szCs w:val="24"/>
        </w:rPr>
      </w:pPr>
      <w:r>
        <w:rPr>
          <w:rFonts w:ascii="Verdana" w:hAnsi="Verdana"/>
          <w:szCs w:val="24"/>
        </w:rPr>
        <w:tab/>
        <w:t>f) Acompanhar, coordenar e fiscalizar a contratação, anotando em registro próprio os fatos que, a seu critério, exijam medidas corretivas no fornecimento do(s) produto(s);</w:t>
      </w:r>
    </w:p>
    <w:p>
      <w:pPr>
        <w:pStyle w:val="Normal"/>
        <w:ind w:firstLine="708"/>
        <w:jc w:val="both"/>
        <w:rPr>
          <w:rFonts w:ascii="Verdana" w:hAnsi="Verdana"/>
          <w:szCs w:val="24"/>
        </w:rPr>
      </w:pPr>
      <w:r>
        <w:rPr>
          <w:rFonts w:ascii="Verdana" w:hAnsi="Verdana"/>
          <w:szCs w:val="24"/>
        </w:rPr>
        <w:tab/>
        <w:t>g) Notificar à CONTRATADA, por escrito, sobre imperfeições, falhas ou irregularidades constatadas nos fornecimentos, para que sejam tomadas as medidas corretivas necessárias;</w:t>
      </w:r>
    </w:p>
    <w:p>
      <w:pPr>
        <w:pStyle w:val="Normal"/>
        <w:ind w:firstLine="708"/>
        <w:jc w:val="both"/>
        <w:rPr>
          <w:rFonts w:ascii="Verdana" w:hAnsi="Verdana"/>
          <w:szCs w:val="24"/>
        </w:rPr>
      </w:pPr>
      <w:r>
        <w:rPr>
          <w:rFonts w:ascii="Verdana" w:hAnsi="Verdana"/>
          <w:szCs w:val="24"/>
        </w:rPr>
        <w:tab/>
        <w:t>h) Notificar a CONTRATADA, por escrito, a disposição de aplicação de eventuais penalidades, garantindo o contraditório e a ampla defesa.</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10. DAS PENALIDADES</w:t>
      </w:r>
    </w:p>
    <w:p>
      <w:pPr>
        <w:pStyle w:val="Normal"/>
        <w:ind w:firstLine="708"/>
        <w:jc w:val="both"/>
        <w:rPr>
          <w:rFonts w:ascii="Verdana" w:hAnsi="Verdana"/>
          <w:szCs w:val="24"/>
        </w:rPr>
      </w:pPr>
      <w:r>
        <w:rPr>
          <w:rFonts w:ascii="Verdana" w:hAnsi="Verdana"/>
          <w:szCs w:val="24"/>
        </w:rPr>
      </w:r>
    </w:p>
    <w:p>
      <w:pPr>
        <w:pStyle w:val="Normal"/>
        <w:ind w:firstLine="708"/>
        <w:rPr/>
      </w:pPr>
      <w:r>
        <w:rPr>
          <w:rFonts w:ascii="Verdana" w:hAnsi="Verdana"/>
          <w:szCs w:val="24"/>
        </w:rPr>
        <w:t>10.1</w:t>
        <w:tab/>
        <w:t>- A empresa licitante deverá observar rigorosamente as condições estabelecidas no edital, sujeitando-se às penalidades constantes no art. 7º da Lei nº 10.520/2002 e nos artigos 86 e 87 da Lei nº 8.666/1993, conforme o disposto:</w:t>
      </w:r>
    </w:p>
    <w:p>
      <w:pPr>
        <w:pStyle w:val="Normal"/>
        <w:ind w:firstLine="708"/>
        <w:rPr>
          <w:rFonts w:ascii="Verdana" w:hAnsi="Verdana"/>
          <w:szCs w:val="24"/>
        </w:rPr>
      </w:pPr>
      <w:r>
        <w:rPr>
          <w:rFonts w:ascii="Verdana" w:hAnsi="Verdana"/>
          <w:szCs w:val="24"/>
        </w:rPr>
      </w:r>
    </w:p>
    <w:p>
      <w:pPr>
        <w:pStyle w:val="ListParagraph"/>
        <w:numPr>
          <w:ilvl w:val="0"/>
          <w:numId w:val="0"/>
        </w:numPr>
        <w:ind w:left="2178" w:hanging="0"/>
        <w:jc w:val="both"/>
        <w:rPr/>
      </w:pPr>
      <w:r>
        <w:rPr>
          <w:rFonts w:ascii="Verdana" w:hAnsi="Verdana"/>
          <w:szCs w:val="24"/>
        </w:rPr>
        <w:t>10.1.2  0,33% (zero vírgula trinta e três por cento) ao dia, limitado a 10% (dez por cento), incidente sobre o valor da proposta apresentada, nos casos de descumprimento do prazo estipulado no edital para a retirada da Ordem de Fornecimento, atraso quanto ao fornecimento do produto licitado ou pela recusa em prestá-los, calculada pela fórmula M = 0,0033 x C x D. Tendo como correspondente: M = valor da multa, C = valor da obrigação e D = número de dias em atraso;</w:t>
      </w:r>
    </w:p>
    <w:p>
      <w:pPr>
        <w:pStyle w:val="Normal"/>
        <w:rPr>
          <w:rFonts w:ascii="Verdana" w:hAnsi="Verdana"/>
          <w:szCs w:val="24"/>
        </w:rPr>
      </w:pPr>
      <w:r>
        <w:rPr>
          <w:rFonts w:ascii="Verdana" w:hAnsi="Verdana"/>
          <w:szCs w:val="24"/>
        </w:rPr>
      </w:r>
    </w:p>
    <w:p>
      <w:pPr>
        <w:pStyle w:val="Normal"/>
        <w:ind w:firstLine="708"/>
        <w:jc w:val="both"/>
        <w:rPr/>
      </w:pPr>
      <w:r>
        <w:rPr>
          <w:rFonts w:ascii="Verdana" w:hAnsi="Verdana"/>
          <w:szCs w:val="24"/>
        </w:rPr>
        <w:t>b)</w:t>
        <w:tab/>
        <w:t>Impedimento do direito de licitar e contratar com a CMCI por um período de até 2 (anos) anos, no caso de apresentação de declaração, documento ou produto falso.</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10.2</w:t>
        <w:tab/>
        <w:t>- A aplicação da penalidade de multa não afasta a aplicação da penalidade de impedimento de licitar ou contratar.</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10.3</w:t>
        <w:tab/>
        <w:t>- Caso a CONTRATADA se recuse a receber a Ordem de Fornecimento, a fornecer os produtos objeto desta licitação, a atender ao disposto neste Termo de Referência, aplicar-se-á o previsto no art. 4º, inciso XVI, da Lei nº 10.520/2002, devendo as licitantes remanescentes ser convocadas na ordem de classificação de suas propostas na etapa de lances.</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10.4</w:t>
        <w:tab/>
        <w:t>- As sanções administrativas somente serão aplicadas pela CMCI após a devida notificação e o transcurso do prazo estabelecido para a defesa prévia.</w:t>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10.5</w:t>
        <w:tab/>
        <w:t>- A notificação deverá ocorrer pessoalmente ou por correspondência com aviso de recebimento, onde será indicada a conduta considerada irregular, a motivação e a espécie de sanção administrativa que se pretende aplicar, o prazo e o local de entrega das razões de defesa.</w:t>
      </w:r>
    </w:p>
    <w:p>
      <w:pPr>
        <w:pStyle w:val="Normal"/>
        <w:rPr>
          <w:rFonts w:ascii="Verdana" w:hAnsi="Verdana"/>
          <w:szCs w:val="24"/>
        </w:rPr>
      </w:pPr>
      <w:r>
        <w:rPr>
          <w:rFonts w:ascii="Verdana" w:hAnsi="Verdana"/>
          <w:szCs w:val="24"/>
        </w:rPr>
      </w:r>
    </w:p>
    <w:p>
      <w:pPr>
        <w:pStyle w:val="Normal"/>
        <w:ind w:firstLine="708"/>
        <w:jc w:val="both"/>
        <w:rPr/>
      </w:pPr>
      <w:r>
        <w:rPr>
          <w:rFonts w:ascii="Verdana" w:hAnsi="Verdana"/>
          <w:szCs w:val="24"/>
        </w:rPr>
        <w:t>10.6</w:t>
        <w:tab/>
        <w:t>- O prazo para apresentação de defesa prévia será de 05 (cinco) dias úteis a contar da intimação, onde deverá ser observada a regra de contagem de prazo estabelecida no art. 110 da Lei nº 8.666/1993.</w:t>
      </w:r>
    </w:p>
    <w:p>
      <w:pPr>
        <w:pStyle w:val="Normal"/>
        <w:ind w:firstLine="708"/>
        <w:jc w:val="both"/>
        <w:rPr>
          <w:rFonts w:ascii="Verdana" w:hAnsi="Verdana"/>
          <w:szCs w:val="24"/>
        </w:rPr>
      </w:pPr>
      <w:r>
        <w:rPr>
          <w:rFonts w:ascii="Verdana" w:hAnsi="Verdana"/>
          <w:szCs w:val="24"/>
        </w:rPr>
      </w:r>
    </w:p>
    <w:p>
      <w:pPr>
        <w:pStyle w:val="Normal"/>
        <w:jc w:val="both"/>
        <w:rPr/>
      </w:pPr>
      <w:r>
        <w:rPr>
          <w:rFonts w:ascii="Verdana" w:hAnsi="Verdana"/>
          <w:szCs w:val="24"/>
        </w:rPr>
        <w:t>11. DA FORMA DE PAGAMENTO</w:t>
      </w:r>
    </w:p>
    <w:p>
      <w:pPr>
        <w:pStyle w:val="Normal"/>
        <w:ind w:firstLine="708"/>
        <w:jc w:val="both"/>
        <w:rPr>
          <w:rFonts w:ascii="Verdana" w:hAnsi="Verdana"/>
          <w:szCs w:val="24"/>
        </w:rPr>
      </w:pPr>
      <w:r>
        <w:rPr>
          <w:rFonts w:ascii="Verdana" w:hAnsi="Verdana"/>
          <w:szCs w:val="24"/>
        </w:rPr>
        <w:tab/>
        <w:t>a) Os pagamentos serão efetuados mediante o fornecimento a CMCI de NOTA FISCAL ELETRÔNICA, em atendimento ao Protocolo ICMS nº 42/2009 - CONFAZ, bem como os documentos de regularidade fiscal exigidos para a habilitação no procedimento licitatório. Estes documentos depois de conferidos e visados, serão encaminhados para processamento e pagamento no prazo de 10 (dez) dias úteis após a respectiva apresentação;</w:t>
      </w:r>
    </w:p>
    <w:p>
      <w:pPr>
        <w:pStyle w:val="Normal"/>
        <w:ind w:firstLine="708"/>
        <w:jc w:val="both"/>
        <w:rPr>
          <w:rFonts w:ascii="Verdana" w:hAnsi="Verdana"/>
          <w:szCs w:val="24"/>
        </w:rPr>
      </w:pPr>
      <w:r>
        <w:rPr>
          <w:rFonts w:ascii="Verdana" w:hAnsi="Verdana"/>
          <w:szCs w:val="24"/>
        </w:rPr>
        <w:tab/>
        <w:t>b) A NOTA FISCAL ELETRÔNICA deverá conter o mesmo CNPJ e razão social apresentados na etapa de CREDENCIAMENTO e acolhidos nos DOCUMENTOS DE HABILITAÇÃO;</w:t>
      </w:r>
    </w:p>
    <w:p>
      <w:pPr>
        <w:pStyle w:val="Normal"/>
        <w:ind w:firstLine="708"/>
        <w:jc w:val="both"/>
        <w:rPr>
          <w:rFonts w:ascii="Verdana" w:hAnsi="Verdana"/>
          <w:szCs w:val="24"/>
        </w:rPr>
      </w:pPr>
      <w:r>
        <w:rPr>
          <w:rFonts w:ascii="Verdana" w:hAnsi="Verdana"/>
          <w:szCs w:val="24"/>
        </w:rPr>
        <w:tab/>
        <w:t>c) Qualquer alteração feita no contrato social, ato constitutivo ou estatuto que modifique as informações registradas no Pregão, deverá ser comunicado a CMCI, mediante documentação própria, para apreciação da autoridade competente;</w:t>
      </w:r>
    </w:p>
    <w:p>
      <w:pPr>
        <w:pStyle w:val="Normal"/>
        <w:ind w:firstLine="708"/>
        <w:jc w:val="both"/>
        <w:rPr>
          <w:rFonts w:ascii="Verdana" w:hAnsi="Verdana"/>
          <w:szCs w:val="24"/>
        </w:rPr>
      </w:pPr>
      <w:r>
        <w:rPr>
          <w:rFonts w:ascii="Verdana" w:hAnsi="Verdana"/>
          <w:szCs w:val="24"/>
        </w:rPr>
        <w:tab/>
        <w:t>d) Ocorrendo erros na apresentação do(s) documento(s) fiscal(ais), ou outra circunstância impeditiva, o(s) mesmo(s) será(ão) devolvido(s) à empresa contratada para correção, sendo que o recebimento definitivo será suspenso, ficando estabelecido que o prazo para pagamento será contado a partir da data de apresentação do novo documento fiscal, devidamente corrigido;</w:t>
      </w:r>
    </w:p>
    <w:p>
      <w:pPr>
        <w:pStyle w:val="Normal"/>
        <w:ind w:firstLine="708"/>
        <w:jc w:val="both"/>
        <w:rPr>
          <w:rFonts w:ascii="Verdana" w:hAnsi="Verdana"/>
          <w:szCs w:val="24"/>
        </w:rPr>
      </w:pPr>
      <w:r>
        <w:rPr>
          <w:rFonts w:ascii="Verdana" w:hAnsi="Verdana"/>
          <w:szCs w:val="24"/>
        </w:rPr>
        <w:tab/>
        <w:t>e) No texto da NOTA FISCAL ELETRÔNICA deverão constar, obrigatoriamente, o número do processo e do procedimento da licitação, o(s) objeto(s), as marcas do material, os valores unitários e totais e o número do processo que deu origem à aquisição;</w:t>
      </w:r>
    </w:p>
    <w:p>
      <w:pPr>
        <w:pStyle w:val="Normal"/>
        <w:ind w:firstLine="708"/>
        <w:jc w:val="both"/>
        <w:rPr>
          <w:rFonts w:ascii="Verdana" w:hAnsi="Verdana"/>
          <w:szCs w:val="24"/>
        </w:rPr>
      </w:pPr>
      <w:r>
        <w:rPr>
          <w:rFonts w:ascii="Verdana" w:hAnsi="Verdana"/>
          <w:szCs w:val="24"/>
        </w:rPr>
        <w:tab/>
        <w:t>f) A CMCI poderá deduzir do pagamento importâncias que a qualquer título lhe forem devidos pela empresa contratada, em decorrência de descumprimento de suas obrigações;</w:t>
      </w:r>
    </w:p>
    <w:p>
      <w:pPr>
        <w:pStyle w:val="Normal"/>
        <w:ind w:firstLine="708"/>
        <w:jc w:val="both"/>
        <w:rPr>
          <w:rFonts w:ascii="Verdana" w:hAnsi="Verdana"/>
          <w:szCs w:val="24"/>
        </w:rPr>
      </w:pPr>
      <w:r>
        <w:rPr>
          <w:rFonts w:ascii="Verdana" w:hAnsi="Verdana"/>
          <w:szCs w:val="24"/>
        </w:rPr>
        <w:tab/>
        <w:t>g) O pagamento referente ao valor da NOTA FISCAL ELETRÔNICA será feito por Ordem Bancária;</w:t>
      </w:r>
    </w:p>
    <w:p>
      <w:pPr>
        <w:pStyle w:val="Normal"/>
        <w:ind w:firstLine="708"/>
        <w:jc w:val="both"/>
        <w:rPr/>
      </w:pPr>
      <w:r>
        <w:rPr>
          <w:rFonts w:ascii="Verdana" w:hAnsi="Verdana"/>
          <w:szCs w:val="24"/>
        </w:rPr>
        <w:tab/>
        <w:t>h) Para a efetivação do pagamento a empresa deverá manter as condições previstas neste.</w:t>
      </w:r>
    </w:p>
    <w:p>
      <w:pPr>
        <w:pStyle w:val="Normal"/>
        <w:ind w:firstLine="708"/>
        <w:jc w:val="both"/>
        <w:rPr>
          <w:rFonts w:ascii="Verdana" w:hAnsi="Verdana"/>
          <w:szCs w:val="24"/>
        </w:rPr>
      </w:pPr>
      <w:r>
        <w:rPr>
          <w:rFonts w:ascii="Verdana" w:hAnsi="Verdana"/>
          <w:szCs w:val="24"/>
        </w:rPr>
        <w:t xml:space="preserve"> </w:t>
      </w:r>
    </w:p>
    <w:p>
      <w:pPr>
        <w:pStyle w:val="Normal"/>
        <w:ind w:firstLine="708"/>
        <w:jc w:val="both"/>
        <w:rPr>
          <w:rFonts w:ascii="Verdana" w:hAnsi="Verdana"/>
          <w:szCs w:val="24"/>
        </w:rPr>
      </w:pPr>
      <w:r>
        <w:rPr>
          <w:rFonts w:ascii="Verdana" w:hAnsi="Verdana"/>
          <w:szCs w:val="24"/>
        </w:rPr>
        <w:t>12. DA DOTAÇÃO ORÇAMENTÁRIA</w:t>
      </w:r>
    </w:p>
    <w:p>
      <w:pPr>
        <w:pStyle w:val="Normal"/>
        <w:ind w:firstLine="708"/>
        <w:jc w:val="both"/>
        <w:rPr>
          <w:rFonts w:ascii="Verdana" w:hAnsi="Verdana"/>
          <w:szCs w:val="24"/>
        </w:rPr>
      </w:pPr>
      <w:r>
        <w:rPr>
          <w:rFonts w:ascii="Verdana" w:hAnsi="Verdana"/>
          <w:szCs w:val="24"/>
        </w:rPr>
        <w:t>12.1 - As despesas inerentes a este Termo de Referência correrão à conta da DOTAÇÃO ORÇAMENTÁRIA: 3.3.90.39.55 – SERVIÇOS GRÁFICOS E EDITORIAIS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13. DO VALOR DA CONTRATAÇÃO DE ACEITABILIDADE DA PROPOSTA</w:t>
      </w:r>
    </w:p>
    <w:p>
      <w:pPr>
        <w:pStyle w:val="Normal"/>
        <w:ind w:firstLine="708"/>
        <w:jc w:val="both"/>
        <w:rPr>
          <w:rFonts w:ascii="Verdana" w:hAnsi="Verdana"/>
          <w:szCs w:val="24"/>
        </w:rPr>
      </w:pPr>
      <w:r>
        <w:rPr>
          <w:rFonts w:ascii="Verdana" w:hAnsi="Verdana"/>
          <w:szCs w:val="24"/>
        </w:rPr>
        <w:tab/>
        <w:t>a) O valor aceito para contratação deverá estar compatível com o valor de mercado, estabelecido através de pesquisa de preços e expresso no mapa comparativo de preços;</w:t>
      </w:r>
    </w:p>
    <w:p>
      <w:pPr>
        <w:pStyle w:val="Normal"/>
        <w:ind w:firstLine="708"/>
        <w:jc w:val="both"/>
        <w:rPr/>
      </w:pPr>
      <w:r>
        <w:rPr>
          <w:rFonts w:ascii="Verdana" w:hAnsi="Verdana"/>
          <w:szCs w:val="24"/>
        </w:rPr>
        <w:tab/>
        <w:t>b) Será vencedora a proposta de MENOR VALOR POR LOTE, desde que a empresa ofertante comprove sua regularidade com os encargos trabalhistas, previdenciários, fiscais e comerciais, e tenha como cumprir os prazos e condições estabelecidos neste Termo;</w:t>
      </w:r>
    </w:p>
    <w:p>
      <w:pPr>
        <w:pStyle w:val="Normal"/>
        <w:ind w:firstLine="708"/>
        <w:jc w:val="both"/>
        <w:rPr>
          <w:rFonts w:ascii="Verdana" w:hAnsi="Verdana"/>
          <w:szCs w:val="24"/>
        </w:rPr>
      </w:pPr>
      <w:r>
        <w:rPr>
          <w:rFonts w:ascii="Verdana" w:hAnsi="Verdana"/>
          <w:szCs w:val="24"/>
        </w:rPr>
        <w:tab/>
        <w:t>c) Na proposta de preço devem estar incluídos todos os custos, como transporte, tributos de qualquer natureza e todas as despesas diretas ou indiretas relacionadas com o(s) objeto(s) da contratação;</w:t>
      </w:r>
    </w:p>
    <w:p>
      <w:pPr>
        <w:pStyle w:val="Normal"/>
        <w:ind w:firstLine="708"/>
        <w:jc w:val="both"/>
        <w:rPr>
          <w:rFonts w:ascii="Verdana" w:hAnsi="Verdana"/>
          <w:szCs w:val="24"/>
        </w:rPr>
      </w:pPr>
      <w:r>
        <w:rPr>
          <w:rFonts w:ascii="Verdana" w:hAnsi="Verdana"/>
          <w:szCs w:val="24"/>
        </w:rPr>
        <w:tab/>
        <w:t>d) A proposta de preço deve informar a validade, que não poderá ser inferior a 60 (sessenta) dias.</w:t>
      </w:r>
    </w:p>
    <w:p>
      <w:pPr>
        <w:pStyle w:val="Normal"/>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14. DAS DISPOSIÇÕES GERAIS</w:t>
      </w:r>
    </w:p>
    <w:p>
      <w:pPr>
        <w:pStyle w:val="Normal"/>
        <w:ind w:firstLine="708"/>
        <w:jc w:val="both"/>
        <w:rPr/>
      </w:pPr>
      <w:r>
        <w:rPr>
          <w:rFonts w:ascii="Verdana" w:hAnsi="Verdana"/>
          <w:szCs w:val="24"/>
        </w:rPr>
        <w:t>a) Serão motivos de desclassificação as propostas apresentadas sem a “MARCA” do produto ofertado;</w:t>
      </w:r>
    </w:p>
    <w:p>
      <w:pPr>
        <w:pStyle w:val="Normal"/>
        <w:ind w:firstLine="708"/>
        <w:jc w:val="both"/>
        <w:rPr>
          <w:rFonts w:ascii="Verdana" w:hAnsi="Verdana"/>
          <w:szCs w:val="24"/>
        </w:rPr>
      </w:pPr>
      <w:r>
        <w:rPr>
          <w:rFonts w:ascii="Verdana" w:hAnsi="Verdana"/>
          <w:szCs w:val="24"/>
        </w:rPr>
        <w:tab/>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jc w:val="center"/>
        <w:rPr/>
      </w:pPr>
      <w:r>
        <w:rPr>
          <w:rFonts w:ascii="Verdana" w:hAnsi="Verdana"/>
          <w:b/>
          <w:szCs w:val="24"/>
        </w:rPr>
        <w:t>ANEXO II</w:t>
      </w:r>
    </w:p>
    <w:p>
      <w:pPr>
        <w:pStyle w:val="Normal"/>
        <w:ind w:firstLine="708"/>
        <w:rPr>
          <w:rFonts w:ascii="Verdana" w:hAnsi="Verdana"/>
          <w:szCs w:val="24"/>
        </w:rPr>
      </w:pPr>
      <w:r>
        <w:rPr>
          <w:rFonts w:ascii="Verdana" w:hAnsi="Verdana"/>
          <w:szCs w:val="24"/>
        </w:rPr>
      </w:r>
    </w:p>
    <w:p>
      <w:pPr>
        <w:pStyle w:val="Normal"/>
        <w:ind w:firstLine="708"/>
        <w:jc w:val="both"/>
        <w:rPr/>
      </w:pPr>
      <w:r>
        <w:rPr>
          <w:rFonts w:ascii="Verdana" w:hAnsi="Verdana"/>
          <w:szCs w:val="24"/>
        </w:rPr>
        <w:t>TERMO DE CREDENCIAMENTO (MODELO) PREGÃO PRESENCIAL Nº 17/2018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Através  deste  termo  de  credenciamento  a  empresa</w:t>
        <w:tab/>
        <w:t>constitui  como representante  o  Sr.(a)</w:t>
        <w:tab/>
        <w:t xml:space="preserve">,  portador(a)  do  documento  de  identidade   nº </w:t>
        <w:tab/>
        <w:t xml:space="preserve"> e   inscrito(a)   no   CPF   sob o  nº </w:t>
        <w:tab/>
        <w:t>,  para  participar  da   licitação  acima referenciada, outorgando plenos poderes para pronunciar em seu nome, formular proposta comercial, assinar documentos, requerer vista de documentos e propostas, interpor recurso e praticar todos os atos inerentes ao certame.</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Cachoeiro de Itapemirim ,          de</w:t>
        <w:tab/>
        <w:t>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Nome do representante legal da empresa:</w:t>
        <w:tab/>
        <w:t xml:space="preserve"> CNPJ nº  </w:t>
        <w:tab/>
        <w:t xml:space="preserve"> </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Obs.: No momento do credenciamento deverá ser apresentado o estatuto, o contrato social ou documento equivalente comprovando que o outorgante tem poderes para conceder a representação da empresa.</w:t>
      </w:r>
    </w:p>
    <w:p>
      <w:pPr>
        <w:pStyle w:val="Normal"/>
        <w:ind w:firstLine="708"/>
        <w:jc w:val="both"/>
        <w:rPr>
          <w:rFonts w:ascii="Verdana" w:hAnsi="Verdana"/>
          <w:szCs w:val="24"/>
        </w:rPr>
      </w:pPr>
      <w:r>
        <w:rPr>
          <w:rFonts w:ascii="Verdana" w:hAnsi="Verdana"/>
          <w:szCs w:val="24"/>
        </w:rPr>
        <w:t>Obs. 2: O Termo de credenciamento pode ser dispensado quando a empresa estiver representada na Sessão Pública por um de seus sócios.</w:t>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jc w:val="center"/>
        <w:rPr>
          <w:rFonts w:ascii="Verdana" w:hAnsi="Verdana"/>
          <w:b/>
          <w:b/>
          <w:szCs w:val="24"/>
        </w:rPr>
      </w:pPr>
      <w:r>
        <w:rPr>
          <w:rFonts w:ascii="Verdana" w:hAnsi="Verdana"/>
          <w:b/>
          <w:szCs w:val="24"/>
        </w:rPr>
        <w:t>ANEXO III</w:t>
      </w:r>
    </w:p>
    <w:p>
      <w:pPr>
        <w:pStyle w:val="Normal"/>
        <w:ind w:firstLine="708"/>
        <w:rPr>
          <w:rFonts w:ascii="Verdana" w:hAnsi="Verdana"/>
          <w:szCs w:val="24"/>
        </w:rPr>
      </w:pPr>
      <w:r>
        <w:rPr>
          <w:rFonts w:ascii="Verdana" w:hAnsi="Verdana"/>
          <w:szCs w:val="24"/>
        </w:rPr>
      </w:r>
    </w:p>
    <w:p>
      <w:pPr>
        <w:pStyle w:val="Normal"/>
        <w:ind w:firstLine="708"/>
        <w:jc w:val="both"/>
        <w:rPr/>
      </w:pPr>
      <w:r>
        <w:rPr>
          <w:rFonts w:ascii="Verdana" w:hAnsi="Verdana"/>
          <w:szCs w:val="24"/>
        </w:rPr>
        <w:t>DECLARAÇÃO DE MICROEMPRESA E EMPRESA DE PEQUENO PORTE (MODELO) PREGÃO PRESENCIAL Nº 17/2018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 xml:space="preserve">A   empresa </w:t>
        <w:tab/>
        <w:tab/>
        <w:t xml:space="preserve">, inscrita no CNPJ sob o nº </w:t>
        <w:tab/>
        <w:tab/>
        <w:t xml:space="preserve">, por intermédio de seu representante  legal Sr.(a) </w:t>
        <w:tab/>
        <w:t xml:space="preserve">, portador(a) do  documento de identidade   nº </w:t>
        <w:tab/>
        <w:t xml:space="preserve">, inscrito(a) no CPF sob   o nº </w:t>
        <w:tab/>
        <w:tab/>
        <w:t>, declara sob as penas da Lei, que cumpre os requisitos legais para qualificação como Microempresa (ME) ou Empresa de Pequeno Porte (EPP), conforme art. 3º da Lei Complementar nº 123/2006 e que não está sujeita a quaisquer dos impedimentos do § 4º do referido artigo.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(Observação: em caso afirmativo assinalar a ressalva abaixo)</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Declaramos possuir restrição fiscal no(s) documento(s) de habilitação e pretendemos utilizar o prazo previsto no art. 43, § 1º da Lei Complementar nº 123/2006 para a regularização, estando ciente que, do contrário, haverá decadência do direito à contratação, como também sujeição às sanções previstas no art. 81 da Lei nº 8.666/1993.</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Cachoeiro de Itapemirim ,          de</w:t>
        <w:tab/>
        <w:t>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 xml:space="preserve">Nome do representante legal da empresa:  </w:t>
        <w:tab/>
      </w:r>
    </w:p>
    <w:p>
      <w:pPr>
        <w:pStyle w:val="Normal"/>
        <w:ind w:firstLine="708"/>
        <w:jc w:val="both"/>
        <w:rPr>
          <w:rFonts w:ascii="Verdana" w:hAnsi="Verdana"/>
          <w:szCs w:val="24"/>
        </w:rPr>
      </w:pPr>
      <w:r>
        <w:rPr>
          <w:rFonts w:ascii="Verdana" w:hAnsi="Verdana"/>
          <w:szCs w:val="24"/>
        </w:rPr>
        <w:t xml:space="preserve">CNPJ nº  </w:t>
        <w:tab/>
      </w:r>
    </w:p>
    <w:p>
      <w:pPr>
        <w:pStyle w:val="Normal"/>
        <w:ind w:firstLine="708"/>
        <w:rPr>
          <w:rFonts w:ascii="Verdana" w:hAnsi="Verdana"/>
          <w:szCs w:val="24"/>
        </w:rPr>
      </w:pPr>
      <w:r>
        <w:rPr>
          <w:rFonts w:ascii="Verdana" w:hAnsi="Verdana"/>
          <w:szCs w:val="24"/>
        </w:rPr>
        <w:t xml:space="preserve"> </w:t>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jc w:val="center"/>
        <w:rPr>
          <w:rFonts w:ascii="Verdana" w:hAnsi="Verdana"/>
          <w:b/>
          <w:b/>
          <w:szCs w:val="24"/>
        </w:rPr>
      </w:pPr>
      <w:r>
        <w:rPr>
          <w:rFonts w:ascii="Verdana" w:hAnsi="Verdana"/>
          <w:b/>
          <w:szCs w:val="24"/>
        </w:rPr>
        <w:t>ANEXO IV</w:t>
      </w:r>
    </w:p>
    <w:p>
      <w:pPr>
        <w:pStyle w:val="Normal"/>
        <w:ind w:firstLine="708"/>
        <w:rPr>
          <w:rFonts w:ascii="Verdana" w:hAnsi="Verdana"/>
          <w:szCs w:val="24"/>
        </w:rPr>
      </w:pPr>
      <w:r>
        <w:rPr>
          <w:rFonts w:ascii="Verdana" w:hAnsi="Verdana"/>
          <w:szCs w:val="24"/>
        </w:rPr>
      </w:r>
    </w:p>
    <w:p>
      <w:pPr>
        <w:pStyle w:val="Normal"/>
        <w:ind w:firstLine="708"/>
        <w:jc w:val="both"/>
        <w:rPr/>
      </w:pPr>
      <w:r>
        <w:rPr>
          <w:rFonts w:ascii="Verdana" w:hAnsi="Verdana"/>
          <w:szCs w:val="24"/>
        </w:rPr>
        <w:t>DECLARAÇÃO DE ATENDIMENTO DAS EXIGÊNCIAS HABILITATÓRIAS (MODELO) PREGÃO PRESENCIAL Nº 17/2018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Declaro</w:t>
        <w:tab/>
        <w:t>que</w:t>
        <w:tab/>
        <w:t>a</w:t>
        <w:tab/>
        <w:t>empresa</w:t>
        <w:tab/>
        <w:t xml:space="preserve"> </w:t>
        <w:tab/>
        <w:t>,</w:t>
        <w:tab/>
        <w:t>inscrita</w:t>
        <w:tab/>
        <w:t>no</w:t>
        <w:tab/>
        <w:t>CNPJ</w:t>
        <w:tab/>
        <w:t>sob</w:t>
        <w:tab/>
        <w:t>o</w:t>
        <w:tab/>
        <w:t xml:space="preserve">nº </w:t>
        <w:tab/>
        <w:t>,  cumpre  plenamente  os  requisitos  de  habilitação definidos no edital de licitação acima referenciado, conforme o teor do art. 4º, VII da Lei nº 10.520/2002, sob pena de responsabilização nos termos da lei.</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Cachoeiro de Itapemirim,          de</w:t>
        <w:tab/>
        <w:t>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Nome do representante legal da empresa:</w:t>
        <w:tab/>
        <w:t xml:space="preserve"> CNPJ nº  </w:t>
        <w:tab/>
        <w:t xml:space="preserve"> </w:t>
      </w:r>
    </w:p>
    <w:p>
      <w:pPr>
        <w:pStyle w:val="Normal"/>
        <w:ind w:firstLine="708"/>
        <w:jc w:val="both"/>
        <w:rPr>
          <w:rFonts w:ascii="Verdana" w:hAnsi="Verdana"/>
          <w:szCs w:val="24"/>
        </w:rPr>
      </w:pPr>
      <w:r>
        <w:rPr>
          <w:rFonts w:ascii="Verdana" w:hAnsi="Verdana"/>
          <w:szCs w:val="24"/>
        </w:rPr>
        <w:t xml:space="preserve"> </w:t>
      </w:r>
    </w:p>
    <w:p>
      <w:pPr>
        <w:pStyle w:val="Normal"/>
        <w:ind w:firstLine="708"/>
        <w:jc w:val="both"/>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t>ANEXO V</w:t>
      </w:r>
    </w:p>
    <w:p>
      <w:pPr>
        <w:pStyle w:val="Normal"/>
        <w:ind w:firstLine="708"/>
        <w:rPr>
          <w:rFonts w:ascii="Verdana" w:hAnsi="Verdana"/>
          <w:szCs w:val="24"/>
        </w:rPr>
      </w:pPr>
      <w:r>
        <w:rPr>
          <w:rFonts w:ascii="Verdana" w:hAnsi="Verdana"/>
          <w:szCs w:val="24"/>
        </w:rPr>
      </w:r>
    </w:p>
    <w:p>
      <w:pPr>
        <w:pStyle w:val="Normal"/>
        <w:ind w:firstLine="708"/>
        <w:jc w:val="both"/>
        <w:rPr/>
      </w:pPr>
      <w:r>
        <w:rPr>
          <w:rFonts w:ascii="Verdana" w:hAnsi="Verdana"/>
          <w:szCs w:val="24"/>
        </w:rPr>
        <w:t>DECLARAÇÃO DE FATOS IMPEDITIVOS (MODELO) PREGÃO PRESENCIAL Nº 17/2018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 xml:space="preserve"> </w:t>
      </w:r>
      <w:r>
        <w:rPr>
          <w:rFonts w:ascii="Verdana" w:hAnsi="Verdana"/>
          <w:szCs w:val="24"/>
        </w:rPr>
        <w:tab/>
        <w:tab/>
        <w:t xml:space="preserve">(empresa), CNPJ  nº. </w:t>
        <w:tab/>
        <w:t xml:space="preserve">, situada </w:t>
        <w:tab/>
        <w:t>, declara, sob as penas da Lei, que   inexiste fato impeditivo a sua habilitação no presente certame, ciente da obrigatoriedade de declarar fatos supervenientes.</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pPr>
      <w:r>
        <w:rPr>
          <w:rFonts w:ascii="Verdana" w:hAnsi="Verdana"/>
          <w:szCs w:val="24"/>
        </w:rPr>
        <w:t xml:space="preserve"> </w:t>
      </w:r>
      <w:r>
        <w:rPr>
          <w:rFonts w:ascii="Verdana" w:hAnsi="Verdana"/>
          <w:szCs w:val="24"/>
        </w:rPr>
        <w:tab/>
        <w:t xml:space="preserve">Cachoeiro de Itapemirim,   _ </w:t>
        <w:tab/>
        <w:t xml:space="preserve">de </w:t>
        <w:tab/>
        <w:t>2018.</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t>(representante legal)</w:t>
      </w:r>
    </w:p>
    <w:p>
      <w:pPr>
        <w:pStyle w:val="Normal"/>
        <w:ind w:firstLine="708"/>
        <w:jc w:val="both"/>
        <w:rPr>
          <w:rFonts w:ascii="Verdana" w:hAnsi="Verdana"/>
          <w:szCs w:val="24"/>
        </w:rPr>
      </w:pPr>
      <w:r>
        <w:rPr>
          <w:rFonts w:ascii="Verdana" w:hAnsi="Verdana"/>
          <w:szCs w:val="24"/>
        </w:rPr>
        <w:t xml:space="preserve"> </w:t>
      </w:r>
    </w:p>
    <w:p>
      <w:pPr>
        <w:pStyle w:val="Normal"/>
        <w:ind w:firstLine="708"/>
        <w:jc w:val="both"/>
        <w:rPr>
          <w:rFonts w:ascii="Verdana" w:hAnsi="Verdana"/>
          <w:szCs w:val="24"/>
        </w:rPr>
      </w:pPr>
      <w:r>
        <w:rPr>
          <w:rFonts w:ascii="Verdana" w:hAnsi="Verdana"/>
          <w:szCs w:val="24"/>
        </w:rPr>
      </w:r>
    </w:p>
    <w:p>
      <w:pPr>
        <w:pStyle w:val="Normal"/>
        <w:ind w:firstLine="708"/>
        <w:jc w:val="both"/>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rPr>
          <w:rFonts w:ascii="Verdana" w:hAnsi="Verdana"/>
          <w:szCs w:val="24"/>
        </w:rPr>
      </w:pPr>
      <w:r>
        <w:rPr>
          <w:rFonts w:ascii="Verdana" w:hAnsi="Verdana"/>
          <w:szCs w:val="24"/>
        </w:rPr>
      </w:r>
    </w:p>
    <w:p>
      <w:pPr>
        <w:pStyle w:val="Normal"/>
        <w:ind w:firstLine="708"/>
        <w:jc w:val="center"/>
        <w:rPr>
          <w:rFonts w:ascii="Verdana" w:hAnsi="Verdana"/>
          <w:b/>
          <w:b/>
          <w:szCs w:val="24"/>
        </w:rPr>
      </w:pPr>
      <w:r>
        <w:rPr>
          <w:rFonts w:ascii="Verdana" w:hAnsi="Verdana"/>
          <w:b/>
          <w:szCs w:val="24"/>
        </w:rPr>
        <w:t>ANEXO VI - PROPOSTA</w:t>
      </w:r>
    </w:p>
    <w:p>
      <w:pPr>
        <w:pStyle w:val="Normal"/>
        <w:jc w:val="both"/>
        <w:rPr>
          <w:rFonts w:ascii="Arial" w:hAnsi="Arial" w:cs="Arial"/>
          <w:b/>
          <w:b/>
        </w:rPr>
      </w:pPr>
      <w:r>
        <w:rPr>
          <w:rFonts w:cs="Arial" w:ascii="Arial" w:hAnsi="Arial"/>
          <w:b/>
        </w:rPr>
      </w:r>
    </w:p>
    <w:p>
      <w:pPr>
        <w:pStyle w:val="Normal"/>
        <w:jc w:val="center"/>
        <w:rPr>
          <w:rFonts w:ascii="Arial" w:hAnsi="Arial" w:cs="Arial"/>
          <w:b/>
          <w:b/>
        </w:rPr>
      </w:pPr>
      <w:r>
        <w:rPr>
          <w:rFonts w:cs="Arial" w:ascii="Arial" w:hAnsi="Arial"/>
          <w:b/>
          <w:bCs/>
        </w:rPr>
        <w:t>ANEXO I- ESPECIFICAÇÃO DO OBJETO</w:t>
      </w:r>
    </w:p>
    <w:tbl>
      <w:tblPr>
        <w:tblW w:w="10818" w:type="dxa"/>
        <w:jc w:val="left"/>
        <w:tblInd w:w="5" w:type="dxa"/>
        <w:tblBorders>
          <w:top w:val="single" w:sz="8" w:space="0" w:color="000001"/>
          <w:left w:val="single" w:sz="8" w:space="0" w:color="000001"/>
          <w:bottom w:val="single" w:sz="8" w:space="0" w:color="000001"/>
          <w:insideH w:val="single" w:sz="8" w:space="0" w:color="000001"/>
        </w:tblBorders>
        <w:tblCellMar>
          <w:top w:w="0" w:type="dxa"/>
          <w:left w:w="40" w:type="dxa"/>
          <w:bottom w:w="0" w:type="dxa"/>
          <w:right w:w="70" w:type="dxa"/>
        </w:tblCellMar>
        <w:tblLook w:firstRow="0" w:noVBand="0" w:lastRow="0" w:firstColumn="0" w:lastColumn="0" w:noHBand="0" w:val="0000"/>
      </w:tblPr>
      <w:tblGrid>
        <w:gridCol w:w="840"/>
        <w:gridCol w:w="4592"/>
        <w:gridCol w:w="1134"/>
        <w:gridCol w:w="992"/>
        <w:gridCol w:w="992"/>
        <w:gridCol w:w="1134"/>
        <w:gridCol w:w="1133"/>
      </w:tblGrid>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color w:val="000000"/>
                <w:sz w:val="21"/>
                <w:szCs w:val="21"/>
              </w:rPr>
              <w:t>ITENS</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b/>
                <w:b/>
                <w:color w:val="000000"/>
                <w:sz w:val="21"/>
                <w:szCs w:val="21"/>
              </w:rPr>
            </w:pPr>
            <w:r>
              <w:rPr>
                <w:rFonts w:cs="Arial" w:ascii="Arial" w:hAnsi="Arial"/>
                <w:b/>
                <w:color w:val="000000"/>
                <w:sz w:val="21"/>
                <w:szCs w:val="21"/>
              </w:rPr>
              <w:t>DESCRIÇÃO DO OBJETO</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MARCA</w:t>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QTDE</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jc w:val="center"/>
              <w:rPr>
                <w:rFonts w:ascii="Arial" w:hAnsi="Arial" w:cs="Arial"/>
                <w:color w:val="000000"/>
                <w:sz w:val="21"/>
                <w:szCs w:val="21"/>
              </w:rPr>
            </w:pPr>
            <w:r>
              <w:rPr>
                <w:rFonts w:cs="Arial" w:ascii="Arial" w:hAnsi="Arial"/>
                <w:color w:val="000000"/>
                <w:sz w:val="21"/>
                <w:szCs w:val="21"/>
              </w:rPr>
              <w:t>VR</w:t>
            </w:r>
          </w:p>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UNIT</w:t>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jc w:val="center"/>
              <w:rPr>
                <w:rFonts w:ascii="Arial" w:hAnsi="Arial" w:cs="Arial"/>
                <w:color w:val="000000"/>
                <w:sz w:val="21"/>
                <w:szCs w:val="21"/>
              </w:rPr>
            </w:pPr>
            <w:r>
              <w:rPr>
                <w:rFonts w:cs="Arial" w:ascii="Arial" w:hAnsi="Arial"/>
                <w:color w:val="000000"/>
                <w:sz w:val="21"/>
                <w:szCs w:val="21"/>
              </w:rPr>
              <w:t>VR</w:t>
            </w:r>
          </w:p>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TOTAL</w:t>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1</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Envelope 18x24 timbrado</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1.500</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r>
      <w:tr>
        <w:trPr>
          <w:trHeight w:val="94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2</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b/>
                <w:color w:val="000000"/>
                <w:sz w:val="21"/>
                <w:szCs w:val="21"/>
              </w:rPr>
              <w:t xml:space="preserve">Envelope 11x23 timbrado, </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1.000</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3</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 xml:space="preserve">Capas de processo tesouraria, </w:t>
            </w:r>
            <w:r>
              <w:rPr>
                <w:rFonts w:cs="Arial" w:ascii="Arial" w:hAnsi="Arial"/>
                <w:b/>
                <w:bCs/>
                <w:color w:val="000000"/>
                <w:sz w:val="21"/>
                <w:szCs w:val="21"/>
              </w:rPr>
              <w:t>com trilho de metal incluso</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1.000</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4</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Capas de processo amarela</w:t>
            </w:r>
            <w:r>
              <w:rPr>
                <w:rFonts w:cs="Arial" w:ascii="Arial" w:hAnsi="Arial"/>
                <w:color w:val="000000"/>
                <w:sz w:val="21"/>
                <w:szCs w:val="21"/>
              </w:rPr>
              <w:t>,</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500</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r>
      <w:tr>
        <w:trPr>
          <w:trHeight w:val="630"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5</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Capas de processo azul</w:t>
            </w:r>
            <w:r>
              <w:rPr>
                <w:rFonts w:cs="Arial" w:ascii="Arial" w:hAnsi="Arial"/>
                <w:color w:val="000000"/>
                <w:sz w:val="21"/>
                <w:szCs w:val="21"/>
              </w:rPr>
              <w:t xml:space="preserve">, </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500</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r>
      <w:tr>
        <w:trPr>
          <w:trHeight w:val="94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6</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rFonts w:ascii="Arial" w:hAnsi="Arial"/>
                <w:b/>
                <w:b/>
                <w:bCs/>
                <w:sz w:val="21"/>
                <w:szCs w:val="21"/>
              </w:rPr>
            </w:pPr>
            <w:r>
              <w:rPr>
                <w:rFonts w:cs="Arial" w:ascii="Arial" w:hAnsi="Arial"/>
                <w:b/>
                <w:bCs/>
                <w:color w:val="000000"/>
                <w:sz w:val="21"/>
                <w:szCs w:val="21"/>
              </w:rPr>
              <w:t>Pasta do Cerimonial</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1.000</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r>
      <w:tr>
        <w:trPr>
          <w:trHeight w:val="31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7</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rPr>
                <w:rFonts w:ascii="Arial" w:hAnsi="Arial" w:cs="Arial"/>
                <w:color w:val="000000"/>
                <w:sz w:val="21"/>
                <w:szCs w:val="21"/>
              </w:rPr>
            </w:pPr>
            <w:r>
              <w:rPr>
                <w:rFonts w:cs="Arial" w:ascii="Arial" w:hAnsi="Arial"/>
                <w:b/>
                <w:color w:val="000000"/>
                <w:sz w:val="21"/>
                <w:szCs w:val="21"/>
              </w:rPr>
              <w:t>Capas de processo verde</w:t>
            </w:r>
            <w:r>
              <w:rPr>
                <w:rFonts w:cs="Arial" w:ascii="Arial" w:hAnsi="Arial"/>
                <w:color w:val="000000"/>
                <w:sz w:val="21"/>
                <w:szCs w:val="21"/>
              </w:rPr>
              <w:t>,</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1.000</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r>
      <w:tr>
        <w:trPr>
          <w:trHeight w:val="315" w:hRule="atLeast"/>
        </w:trPr>
        <w:tc>
          <w:tcPr>
            <w:tcW w:w="840"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pPr>
            <w:r>
              <w:rPr>
                <w:rFonts w:cs="Arial" w:ascii="Arial" w:hAnsi="Arial"/>
                <w:color w:val="000000"/>
                <w:sz w:val="21"/>
                <w:szCs w:val="21"/>
              </w:rPr>
              <w:t>8</w:t>
            </w:r>
          </w:p>
        </w:tc>
        <w:tc>
          <w:tcPr>
            <w:tcW w:w="45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both"/>
              <w:rPr/>
            </w:pPr>
            <w:r>
              <w:rPr>
                <w:rFonts w:cs="Arial" w:ascii="Arial" w:hAnsi="Arial"/>
                <w:b/>
                <w:color w:val="000000"/>
                <w:sz w:val="21"/>
                <w:szCs w:val="21"/>
              </w:rPr>
              <w:t>Bloco folha timbrada</w:t>
            </w:r>
            <w:r>
              <w:rPr>
                <w:rFonts w:cs="Arial" w:ascii="Arial" w:hAnsi="Arial"/>
                <w:color w:val="000000"/>
                <w:sz w:val="21"/>
                <w:szCs w:val="21"/>
              </w:rPr>
              <w:t xml:space="preserve">  </w:t>
            </w:r>
            <w:r>
              <w:rPr>
                <w:rFonts w:cs="Arial" w:ascii="Arial" w:hAnsi="Arial"/>
                <w:b/>
                <w:bCs/>
                <w:color w:val="000000"/>
                <w:sz w:val="21"/>
                <w:szCs w:val="21"/>
              </w:rPr>
              <w:t>- 50 folhas</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992" w:type="dxa"/>
            <w:tcBorders>
              <w:top w:val="single" w:sz="8" w:space="0" w:color="000001"/>
              <w:left w:val="single" w:sz="8" w:space="0" w:color="000001"/>
              <w:bottom w:val="single" w:sz="8" w:space="0" w:color="000001"/>
              <w:insideH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100</w:t>
            </w:r>
          </w:p>
        </w:tc>
        <w:tc>
          <w:tcPr>
            <w:tcW w:w="992"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t>unid</w:t>
            </w:r>
          </w:p>
        </w:tc>
        <w:tc>
          <w:tcPr>
            <w:tcW w:w="1134"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c>
          <w:tcPr>
            <w:tcW w:w="1133"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40" w:type="dxa"/>
            </w:tcMar>
            <w:vAlign w:val="center"/>
          </w:tcPr>
          <w:p>
            <w:pPr>
              <w:pStyle w:val="Normal"/>
              <w:snapToGrid w:val="false"/>
              <w:spacing w:before="0" w:after="160"/>
              <w:jc w:val="center"/>
              <w:rPr>
                <w:rFonts w:ascii="Arial" w:hAnsi="Arial" w:cs="Arial"/>
                <w:color w:val="000000"/>
                <w:sz w:val="21"/>
                <w:szCs w:val="21"/>
              </w:rPr>
            </w:pPr>
            <w:r>
              <w:rPr>
                <w:rFonts w:cs="Arial" w:ascii="Arial" w:hAnsi="Arial"/>
                <w:color w:val="000000"/>
                <w:sz w:val="21"/>
                <w:szCs w:val="21"/>
              </w:rPr>
            </w:r>
          </w:p>
        </w:tc>
      </w:tr>
    </w:tbl>
    <w:p>
      <w:pPr>
        <w:pStyle w:val="Normal"/>
        <w:rPr>
          <w:rFonts w:ascii="Arial" w:hAnsi="Arial" w:cs="Arial"/>
          <w:b/>
          <w:b/>
          <w:bCs/>
          <w:color w:val="000000"/>
        </w:rPr>
      </w:pPr>
      <w:r>
        <w:rPr>
          <w:rFonts w:cs="Arial" w:ascii="Arial" w:hAnsi="Arial"/>
          <w:b/>
          <w:bCs/>
          <w:color w:val="000000"/>
        </w:rPr>
      </w:r>
    </w:p>
    <w:p>
      <w:pPr>
        <w:pStyle w:val="Normal"/>
        <w:jc w:val="center"/>
        <w:rPr>
          <w:rFonts w:ascii="Arial" w:hAnsi="Arial" w:cs="Arial"/>
          <w:b/>
          <w:b/>
          <w:bCs/>
          <w:color w:val="000000"/>
        </w:rPr>
      </w:pPr>
      <w:r>
        <w:rPr>
          <w:rFonts w:cs="Arial" w:ascii="Arial" w:hAnsi="Arial"/>
          <w:b/>
          <w:bCs/>
          <w:color w:val="000000"/>
        </w:rPr>
      </w:r>
    </w:p>
    <w:p>
      <w:pPr>
        <w:pStyle w:val="Normal"/>
        <w:rPr/>
      </w:pPr>
      <w:r>
        <w:rPr>
          <w:rFonts w:cs="Arial" w:ascii="Arial" w:hAnsi="Arial"/>
        </w:rPr>
        <w:t>VALOR TOTAL POR EXTENSO</w:t>
      </w:r>
    </w:p>
    <w:p>
      <w:pPr>
        <w:pStyle w:val="Normal"/>
        <w:rPr>
          <w:rFonts w:ascii="Arial" w:hAnsi="Arial" w:cs="Arial"/>
        </w:rPr>
      </w:pPr>
      <w:r>
        <mc:AlternateContent>
          <mc:Choice Requires="wps">
            <w:drawing>
              <wp:anchor behindDoc="0" distT="0" distB="0" distL="89535" distR="89535" simplePos="0" locked="0" layoutInCell="1" allowOverlap="1" relativeHeight="147">
                <wp:simplePos x="0" y="0"/>
                <wp:positionH relativeFrom="column">
                  <wp:posOffset>-68580</wp:posOffset>
                </wp:positionH>
                <wp:positionV relativeFrom="paragraph">
                  <wp:posOffset>635</wp:posOffset>
                </wp:positionV>
                <wp:extent cx="6104255" cy="995045"/>
                <wp:effectExtent l="0" t="0" r="0" b="0"/>
                <wp:wrapSquare wrapText="bothSides"/>
                <wp:docPr id="1" name="Quadro1"/>
                <a:graphic xmlns:a="http://schemas.openxmlformats.org/drawingml/2006/main">
                  <a:graphicData uri="http://schemas.microsoft.com/office/word/2010/wordprocessingShape">
                    <wps:wsp>
                      <wps:cNvSpPr/>
                      <wps:spPr>
                        <a:xfrm>
                          <a:off x="0" y="0"/>
                          <a:ext cx="6103800" cy="994320"/>
                        </a:xfrm>
                        <a:prstGeom prst="rect">
                          <a:avLst/>
                        </a:prstGeom>
                        <a:noFill/>
                        <a:ln>
                          <a:noFill/>
                        </a:ln>
                      </wps:spPr>
                      <wps:style>
                        <a:lnRef idx="0"/>
                        <a:fillRef idx="0"/>
                        <a:effectRef idx="0"/>
                        <a:fontRef idx="minor"/>
                      </wps:style>
                      <wps:txbx>
                        <w:txbxContent>
                          <w:tbl>
                            <w:tblPr>
                              <w:tblW w:w="9611" w:type="dxa"/>
                              <w:jc w:val="left"/>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3" w:type="dxa"/>
                                <w:bottom w:w="0" w:type="dxa"/>
                                <w:right w:w="108" w:type="dxa"/>
                              </w:tblCellMar>
                              <w:tblLook w:firstRow="0" w:noVBand="0" w:lastRow="0" w:firstColumn="0" w:lastColumn="0" w:noHBand="0" w:val="0000"/>
                            </w:tblPr>
                            <w:tblGrid>
                              <w:gridCol w:w="9611"/>
                            </w:tblGrid>
                            <w:tr>
                              <w:trPr>
                                <w:trHeight w:val="427" w:hRule="atLeast"/>
                              </w:trPr>
                              <w:tc>
                                <w:tcPr>
                                  <w:tcW w:w="96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vAlign w:val="center"/>
                                </w:tcPr>
                                <w:p>
                                  <w:pPr>
                                    <w:pStyle w:val="Normal"/>
                                    <w:snapToGrid w:val="false"/>
                                    <w:ind w:left="1985" w:hanging="1985"/>
                                    <w:jc w:val="both"/>
                                    <w:rPr>
                                      <w:rFonts w:ascii="Arial" w:hAnsi="Arial" w:cs="Arial"/>
                                      <w:color w:val="00000A"/>
                                    </w:rPr>
                                  </w:pPr>
                                  <w:r>
                                    <w:rPr>
                                      <w:rFonts w:cs="Arial" w:ascii="Arial" w:hAnsi="Arial"/>
                                      <w:color w:val="00000A"/>
                                    </w:rPr>
                                  </w:r>
                                </w:p>
                                <w:p>
                                  <w:pPr>
                                    <w:pStyle w:val="Normal"/>
                                    <w:ind w:left="1985" w:hanging="1985"/>
                                    <w:jc w:val="both"/>
                                    <w:rPr>
                                      <w:rFonts w:ascii="Arial" w:hAnsi="Arial" w:cs="Arial"/>
                                      <w:color w:val="00000A"/>
                                    </w:rPr>
                                  </w:pPr>
                                  <w:r>
                                    <w:rPr>
                                      <w:rFonts w:cs="Arial" w:ascii="Arial" w:hAnsi="Arial"/>
                                      <w:color w:val="00000A"/>
                                    </w:rPr>
                                  </w:r>
                                </w:p>
                                <w:p>
                                  <w:pPr>
                                    <w:pStyle w:val="Normal"/>
                                    <w:spacing w:before="0" w:after="160"/>
                                    <w:ind w:left="1985" w:hanging="1985"/>
                                    <w:jc w:val="both"/>
                                    <w:rPr>
                                      <w:rFonts w:ascii="Arial" w:hAnsi="Arial" w:cs="Arial"/>
                                      <w:color w:val="00000A"/>
                                    </w:rPr>
                                  </w:pPr>
                                  <w:r>
                                    <w:rPr>
                                      <w:rFonts w:cs="Arial" w:ascii="Arial" w:hAnsi="Arial"/>
                                      <w:color w:val="00000A"/>
                                    </w:rPr>
                                  </w:r>
                                </w:p>
                              </w:tc>
                            </w:tr>
                          </w:tbl>
                          <w:p>
                            <w:pPr>
                              <w:pStyle w:val="Contedodoquadro"/>
                              <w:spacing w:before="0" w:after="160"/>
                              <w:rPr>
                                <w:color w:val="000000"/>
                              </w:rPr>
                            </w:pPr>
                            <w:r>
                              <w:rPr>
                                <w:color w:val="000000"/>
                              </w:rPr>
                            </w:r>
                          </w:p>
                        </w:txbxContent>
                      </wps:txbx>
                      <wps:bodyPr lIns="0" rIns="0" tIns="0" bIns="0">
                        <a:spAutoFit/>
                      </wps:bodyPr>
                    </wps:wsp>
                  </a:graphicData>
                </a:graphic>
              </wp:anchor>
            </w:drawing>
          </mc:Choice>
          <mc:Fallback>
            <w:pict>
              <v:rect id="shape_0" ID="Quadro1" stroked="f" style="position:absolute;margin-left:-5.4pt;margin-top:0.05pt;width:480.55pt;height:78.25pt">
                <w10:wrap type="none"/>
                <v:fill o:detectmouseclick="t" on="false"/>
                <v:stroke color="#3465a4" joinstyle="round" endcap="flat"/>
                <v:textbox>
                  <w:txbxContent>
                    <w:tbl>
                      <w:tblPr>
                        <w:tblW w:w="9611" w:type="dxa"/>
                        <w:jc w:val="left"/>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93" w:type="dxa"/>
                          <w:bottom w:w="0" w:type="dxa"/>
                          <w:right w:w="108" w:type="dxa"/>
                        </w:tblCellMar>
                        <w:tblLook w:firstRow="0" w:noVBand="0" w:lastRow="0" w:firstColumn="0" w:lastColumn="0" w:noHBand="0" w:val="0000"/>
                      </w:tblPr>
                      <w:tblGrid>
                        <w:gridCol w:w="9611"/>
                      </w:tblGrid>
                      <w:tr>
                        <w:trPr>
                          <w:trHeight w:val="427" w:hRule="atLeast"/>
                        </w:trPr>
                        <w:tc>
                          <w:tcPr>
                            <w:tcW w:w="96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3" w:type="dxa"/>
                            </w:tcMar>
                            <w:vAlign w:val="center"/>
                          </w:tcPr>
                          <w:p>
                            <w:pPr>
                              <w:pStyle w:val="Normal"/>
                              <w:snapToGrid w:val="false"/>
                              <w:ind w:left="1985" w:hanging="1985"/>
                              <w:jc w:val="both"/>
                              <w:rPr>
                                <w:rFonts w:ascii="Arial" w:hAnsi="Arial" w:cs="Arial"/>
                                <w:color w:val="00000A"/>
                              </w:rPr>
                            </w:pPr>
                            <w:r>
                              <w:rPr>
                                <w:rFonts w:cs="Arial" w:ascii="Arial" w:hAnsi="Arial"/>
                                <w:color w:val="00000A"/>
                              </w:rPr>
                            </w:r>
                          </w:p>
                          <w:p>
                            <w:pPr>
                              <w:pStyle w:val="Normal"/>
                              <w:ind w:left="1985" w:hanging="1985"/>
                              <w:jc w:val="both"/>
                              <w:rPr>
                                <w:rFonts w:ascii="Arial" w:hAnsi="Arial" w:cs="Arial"/>
                                <w:color w:val="00000A"/>
                              </w:rPr>
                            </w:pPr>
                            <w:r>
                              <w:rPr>
                                <w:rFonts w:cs="Arial" w:ascii="Arial" w:hAnsi="Arial"/>
                                <w:color w:val="00000A"/>
                              </w:rPr>
                            </w:r>
                          </w:p>
                          <w:p>
                            <w:pPr>
                              <w:pStyle w:val="Normal"/>
                              <w:spacing w:before="0" w:after="160"/>
                              <w:ind w:left="1985" w:hanging="1985"/>
                              <w:jc w:val="both"/>
                              <w:rPr>
                                <w:rFonts w:ascii="Arial" w:hAnsi="Arial" w:cs="Arial"/>
                                <w:color w:val="00000A"/>
                              </w:rPr>
                            </w:pPr>
                            <w:r>
                              <w:rPr>
                                <w:rFonts w:cs="Arial" w:ascii="Arial" w:hAnsi="Arial"/>
                                <w:color w:val="00000A"/>
                              </w:rPr>
                            </w:r>
                          </w:p>
                        </w:tc>
                      </w:tr>
                    </w:tbl>
                    <w:p>
                      <w:pPr>
                        <w:pStyle w:val="Contedodoquadro"/>
                        <w:spacing w:before="0" w:after="160"/>
                        <w:rPr>
                          <w:color w:val="000000"/>
                        </w:rPr>
                      </w:pPr>
                      <w:r>
                        <w:rPr>
                          <w:color w:val="000000"/>
                        </w:rPr>
                      </w:r>
                    </w:p>
                  </w:txbxContent>
                </v:textbox>
              </v:rect>
            </w:pict>
          </mc:Fallback>
        </mc:AlternateContent>
      </w:r>
      <w:r>
        <w:rPr>
          <w:rFonts w:cs="Arial" w:ascii="Arial" w:hAnsi="Arial"/>
        </w:rPr>
        <w:br/>
      </w:r>
    </w:p>
    <w:p>
      <w:pPr>
        <w:pStyle w:val="Normal"/>
        <w:jc w:val="both"/>
        <w:rPr>
          <w:rFonts w:ascii="Arial" w:hAnsi="Arial"/>
        </w:rPr>
      </w:pPr>
      <w:r>
        <w:rPr>
          <w:rFonts w:ascii="Arial" w:hAnsi="Arial"/>
        </w:rPr>
        <w:t>Declaramos que a validade da proposta é de 60 (sessenta) dias, contados da data da abertura da mesma;</w:t>
      </w:r>
    </w:p>
    <w:p>
      <w:pPr>
        <w:pStyle w:val="Normal"/>
        <w:jc w:val="both"/>
        <w:rPr>
          <w:rFonts w:ascii="Arial" w:hAnsi="Arial"/>
        </w:rPr>
      </w:pPr>
      <w:r>
        <w:rPr>
          <w:rFonts w:ascii="Arial" w:hAnsi="Arial"/>
        </w:rPr>
        <w:t>Declaramos que estão inclusos todos os custos de fornecimento e instalação, dentre eles, os encargos sociais, impostos, taxas, seguros, transportes, embalagens, licenças, despesas de frete e todas as demais despesas necessárias para o fornecimento do respectivo objeto.</w:t>
      </w:r>
    </w:p>
    <w:p>
      <w:pPr>
        <w:pStyle w:val="Normal"/>
        <w:jc w:val="both"/>
        <w:rPr/>
      </w:pPr>
      <w:r>
        <w:rPr>
          <w:rFonts w:ascii="Arial" w:hAnsi="Arial"/>
        </w:rPr>
        <w:t>Declaramos que os produtos ofertados são de boa procedência e que não fornecemos produtos adulterados, sob penas da legislação vigente.</w:t>
      </w:r>
    </w:p>
    <w:p>
      <w:pPr>
        <w:pStyle w:val="Normal"/>
        <w:spacing w:before="0" w:after="160"/>
        <w:ind w:firstLine="708"/>
        <w:rPr/>
      </w:pPr>
      <w:r>
        <w:rPr/>
      </w:r>
    </w:p>
    <w:p>
      <w:pPr>
        <w:pStyle w:val="Normal"/>
        <w:spacing w:before="0" w:after="160"/>
        <w:ind w:firstLine="708"/>
        <w:rPr/>
      </w:pPr>
      <w:r>
        <w:rPr/>
      </w:r>
    </w:p>
    <w:p>
      <w:pPr>
        <w:pStyle w:val="Normal"/>
        <w:spacing w:before="0" w:after="160"/>
        <w:ind w:firstLine="708"/>
        <w:rPr/>
      </w:pPr>
      <w:r>
        <w:rPr/>
      </w:r>
    </w:p>
    <w:p>
      <w:pPr>
        <w:pStyle w:val="ANEXORtulo"/>
        <w:rPr/>
      </w:pPr>
      <w:r>
        <w:rPr>
          <w:rFonts w:cs="Arial" w:ascii="Arial" w:hAnsi="Arial"/>
          <w:sz w:val="22"/>
          <w:szCs w:val="22"/>
        </w:rPr>
        <w:t>ANEXO VII</w:t>
      </w:r>
    </w:p>
    <w:p>
      <w:pPr>
        <w:pStyle w:val="ANEXORtulo"/>
        <w:rPr>
          <w:rFonts w:ascii="Arial" w:hAnsi="Arial" w:cs="Arial"/>
          <w:sz w:val="22"/>
          <w:szCs w:val="22"/>
        </w:rPr>
      </w:pPr>
      <w:r>
        <w:rPr>
          <w:rFonts w:cs="Arial" w:ascii="Arial" w:hAnsi="Arial"/>
          <w:sz w:val="22"/>
          <w:szCs w:val="22"/>
        </w:rPr>
      </w:r>
    </w:p>
    <w:p>
      <w:pPr>
        <w:pStyle w:val="ANEXOTtulo"/>
        <w:rPr/>
      </w:pPr>
      <w:r>
        <w:rPr>
          <w:rFonts w:cs="Arial" w:ascii="Arial" w:hAnsi="Arial"/>
          <w:i w:val="false"/>
          <w:sz w:val="22"/>
          <w:szCs w:val="22"/>
        </w:rPr>
        <w:t>PREGÃO N</w:t>
      </w:r>
      <w:r>
        <w:rPr>
          <w:rFonts w:cs="Arial" w:ascii="Arial" w:hAnsi="Arial"/>
          <w:i w:val="false"/>
          <w:sz w:val="22"/>
          <w:szCs w:val="22"/>
          <w:u w:val="single"/>
          <w:vertAlign w:val="superscript"/>
        </w:rPr>
        <w:t>o</w:t>
      </w:r>
      <w:r>
        <w:rPr>
          <w:rFonts w:cs="Arial" w:ascii="Arial" w:hAnsi="Arial"/>
          <w:i w:val="false"/>
          <w:sz w:val="22"/>
          <w:szCs w:val="22"/>
        </w:rPr>
        <w:t xml:space="preserve"> 17/2018</w:t>
      </w:r>
    </w:p>
    <w:p>
      <w:pPr>
        <w:pStyle w:val="ANEXOTtulo"/>
        <w:rPr>
          <w:rFonts w:ascii="Arial" w:hAnsi="Arial" w:cs="Arial"/>
          <w:sz w:val="22"/>
          <w:szCs w:val="22"/>
        </w:rPr>
      </w:pPr>
      <w:r>
        <w:rPr>
          <w:rFonts w:cs="Arial" w:ascii="Arial" w:hAnsi="Arial"/>
          <w:sz w:val="22"/>
          <w:szCs w:val="22"/>
        </w:rPr>
      </w:r>
    </w:p>
    <w:p>
      <w:pPr>
        <w:pStyle w:val="AnexoSubttulo"/>
        <w:spacing w:before="120" w:after="0"/>
        <w:jc w:val="both"/>
        <w:rPr/>
      </w:pPr>
      <w:r>
        <w:rPr>
          <w:rFonts w:cs="Arial" w:ascii="Arial" w:hAnsi="Arial"/>
          <w:sz w:val="22"/>
          <w:szCs w:val="22"/>
        </w:rPr>
        <w:t>DECLARAÇÃO DE ATENDIMENTO AO INCISO XXXIII DO ART. 7.º DA CONSTITUIÇÃO FEDERAL</w:t>
      </w:r>
    </w:p>
    <w:p>
      <w:pPr>
        <w:pStyle w:val="AnexoSubttulo"/>
        <w:spacing w:before="120" w:after="0"/>
        <w:jc w:val="both"/>
        <w:rPr>
          <w:rFonts w:ascii="Arial" w:hAnsi="Arial" w:cs="Arial"/>
          <w:sz w:val="22"/>
          <w:szCs w:val="22"/>
        </w:rPr>
      </w:pPr>
      <w:r>
        <w:rPr>
          <w:rFonts w:cs="Arial" w:ascii="Arial" w:hAnsi="Arial"/>
          <w:sz w:val="22"/>
          <w:szCs w:val="22"/>
        </w:rPr>
      </w:r>
    </w:p>
    <w:p>
      <w:pPr>
        <w:pStyle w:val="AnexoSubttulo"/>
        <w:spacing w:before="120" w:after="0"/>
        <w:jc w:val="both"/>
        <w:rPr>
          <w:rFonts w:ascii="Arial" w:hAnsi="Arial" w:cs="Arial"/>
          <w:sz w:val="22"/>
          <w:szCs w:val="22"/>
        </w:rPr>
      </w:pPr>
      <w:r>
        <w:rPr>
          <w:rFonts w:cs="Arial" w:ascii="Arial" w:hAnsi="Arial"/>
          <w:sz w:val="22"/>
          <w:szCs w:val="22"/>
        </w:rPr>
      </w:r>
    </w:p>
    <w:p>
      <w:pPr>
        <w:pStyle w:val="PargrafoNormal"/>
        <w:spacing w:lineRule="auto" w:line="360" w:before="0" w:after="576"/>
        <w:rPr/>
      </w:pPr>
      <w:r>
        <w:rPr>
          <w:rFonts w:cs="Arial" w:ascii="Arial" w:hAnsi="Arial"/>
          <w:sz w:val="22"/>
          <w:szCs w:val="22"/>
        </w:rPr>
        <w:t>Declaramos, para os fins do disposto no inciso V do art. 27 da Lei 8.666/93, acrescido pela Lei n.º 9.854/99, que não empregamos menores de 18 (dezoito) anos em trabalho noturno, perigoso ou insalubre e não empregamos menores de 16 (dezesseis) anos.</w:t>
      </w:r>
    </w:p>
    <w:p>
      <w:pPr>
        <w:pStyle w:val="PargrafoNormal"/>
        <w:spacing w:lineRule="auto" w:line="360" w:before="0" w:after="576"/>
        <w:rPr/>
      </w:pPr>
      <w:r>
        <w:rPr>
          <w:rFonts w:cs="Arial" w:ascii="Arial" w:hAnsi="Arial"/>
          <w:sz w:val="22"/>
          <w:szCs w:val="22"/>
        </w:rPr>
        <w:t>Ressalva: empregamos menores, a partir de 14 (quatorze) anos, na condição de aprendizes     (       ).</w:t>
      </w:r>
    </w:p>
    <w:p>
      <w:pPr>
        <w:pStyle w:val="Corpodetextorecuado"/>
        <w:spacing w:lineRule="auto" w:line="360" w:before="0" w:after="576"/>
        <w:rPr/>
      </w:pPr>
      <w:r>
        <w:rPr>
          <w:rFonts w:cs="Arial" w:ascii="Arial" w:hAnsi="Arial"/>
          <w:sz w:val="22"/>
          <w:szCs w:val="22"/>
        </w:rPr>
        <w:t>Observação: em caso afirmativo, assinalar a ressalva acima.</w:t>
      </w:r>
    </w:p>
    <w:p>
      <w:pPr>
        <w:pStyle w:val="Normal"/>
        <w:spacing w:lineRule="auto" w:line="360" w:before="0" w:after="576"/>
        <w:rPr/>
      </w:pPr>
      <w:r>
        <w:rPr>
          <w:rFonts w:cs="Arial" w:ascii="Arial" w:hAnsi="Arial"/>
          <w:sz w:val="22"/>
          <w:szCs w:val="22"/>
        </w:rPr>
        <w:t>__________, ____ de  __________ de ______.</w:t>
      </w:r>
    </w:p>
    <w:p>
      <w:pPr>
        <w:pStyle w:val="Normal"/>
        <w:spacing w:lineRule="auto" w:line="360"/>
        <w:ind w:right="1701" w:hanging="0"/>
        <w:rPr/>
      </w:pPr>
      <w:r>
        <w:rPr>
          <w:rFonts w:cs="Arial" w:ascii="Arial" w:hAnsi="Arial"/>
          <w:sz w:val="22"/>
          <w:szCs w:val="22"/>
        </w:rPr>
        <w:t>_________________________________</w:t>
      </w:r>
    </w:p>
    <w:p>
      <w:pPr>
        <w:pStyle w:val="Normal"/>
        <w:tabs>
          <w:tab w:val="right" w:pos="6162" w:leader="none"/>
        </w:tabs>
        <w:spacing w:lineRule="auto" w:line="360" w:before="0" w:after="576"/>
        <w:ind w:right="3400" w:hanging="0"/>
        <w:rPr/>
      </w:pPr>
      <w:r>
        <w:rPr>
          <w:rFonts w:cs="Arial" w:ascii="Arial" w:hAnsi="Arial"/>
          <w:sz w:val="22"/>
          <w:szCs w:val="22"/>
        </w:rPr>
        <w:t>Licitante interessado</w:t>
      </w:r>
    </w:p>
    <w:p>
      <w:pPr>
        <w:pStyle w:val="Normal"/>
        <w:tabs>
          <w:tab w:val="right" w:pos="6162" w:leader="none"/>
        </w:tabs>
        <w:spacing w:lineRule="auto" w:line="360" w:before="0" w:after="576"/>
        <w:ind w:right="3400" w:hanging="0"/>
        <w:rPr>
          <w:rFonts w:ascii="Arial" w:hAnsi="Arial" w:cs="Arial"/>
          <w:sz w:val="22"/>
          <w:szCs w:val="22"/>
        </w:rPr>
      </w:pPr>
      <w:r>
        <w:rPr>
          <w:rFonts w:cs="Arial" w:ascii="Arial" w:hAnsi="Arial"/>
          <w:sz w:val="22"/>
          <w:szCs w:val="22"/>
        </w:rPr>
      </w:r>
    </w:p>
    <w:p>
      <w:pPr>
        <w:pStyle w:val="Normal"/>
        <w:tabs>
          <w:tab w:val="right" w:pos="6162" w:leader="none"/>
        </w:tabs>
        <w:spacing w:lineRule="auto" w:line="360" w:before="0" w:after="576"/>
        <w:ind w:right="3400" w:hanging="0"/>
        <w:rPr>
          <w:rFonts w:ascii="Arial" w:hAnsi="Arial" w:cs="Arial"/>
          <w:sz w:val="22"/>
          <w:szCs w:val="22"/>
        </w:rPr>
      </w:pPr>
      <w:r>
        <w:rPr>
          <w:rFonts w:cs="Arial" w:ascii="Arial" w:hAnsi="Arial"/>
          <w:sz w:val="22"/>
          <w:szCs w:val="22"/>
        </w:rPr>
      </w:r>
    </w:p>
    <w:p>
      <w:pPr>
        <w:pStyle w:val="Normal"/>
        <w:tabs>
          <w:tab w:val="right" w:pos="6162" w:leader="none"/>
        </w:tabs>
        <w:spacing w:lineRule="auto" w:line="360" w:before="0" w:after="576"/>
        <w:ind w:right="3400" w:hanging="0"/>
        <w:rPr/>
      </w:pPr>
      <w:r>
        <w:rPr/>
      </w:r>
    </w:p>
    <w:sectPr>
      <w:headerReference w:type="default" r:id="rId3"/>
      <w:footerReference w:type="default" r:id="rId4"/>
      <w:type w:val="nextPage"/>
      <w:pgSz w:w="11906" w:h="16838"/>
      <w:pgMar w:left="567" w:right="567" w:header="1134" w:top="1191" w:footer="284"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imes">
    <w:altName w:val="Times New Roman"/>
    <w:charset w:val="00"/>
    <w:family w:val="roman"/>
    <w:pitch w:val="variable"/>
  </w:font>
  <w:font w:name="Segoe UI">
    <w:charset w:val="00"/>
    <w:family w:val="roman"/>
    <w:pitch w:val="variable"/>
  </w:font>
  <w:font w:name="Verdana">
    <w:charset w:val="00"/>
    <w:family w:val="roman"/>
    <w:pitch w:val="variable"/>
  </w:font>
  <w:font w:name="Liberation Sans">
    <w:altName w:val="Arial"/>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jc w:val="center"/>
      <w:rPr/>
    </w:pPr>
    <w:r>
      <w:rPr>
        <w:b/>
        <w:i/>
        <w:sz w:val="24"/>
      </w:rPr>
      <w:t xml:space="preserve">              “</w:t>
    </w:r>
    <w:r>
      <w:rPr>
        <w:b/>
        <w:i/>
        <w:sz w:val="24"/>
      </w:rPr>
      <w:t>Feliz a nação cujo Deus é o Senhor”</w:t>
      <w:tab/>
      <w:t xml:space="preserve">Página </w:t>
    </w:r>
    <w:r>
      <w:rPr>
        <w:b/>
        <w:i/>
        <w:sz w:val="24"/>
      </w:rPr>
      <w:fldChar w:fldCharType="begin"/>
    </w:r>
    <w:r>
      <w:instrText> PAGE </w:instrText>
    </w:r>
    <w:r>
      <w:fldChar w:fldCharType="separate"/>
    </w:r>
    <w:r>
      <w:t>29</w:t>
    </w:r>
    <w:r>
      <w:fldChar w:fldCharType="end"/>
    </w:r>
    <w:r>
      <w:rPr>
        <w:b/>
        <w:i/>
        <w:sz w:val="24"/>
      </w:rPr>
      <w:t xml:space="preserve"> de </w:t>
    </w:r>
    <w:r>
      <w:rPr>
        <w:b/>
        <w:i/>
        <w:sz w:val="24"/>
      </w:rPr>
      <w:fldChar w:fldCharType="begin"/>
    </w:r>
    <w:r>
      <w:instrText> NUMPAGES </w:instrText>
    </w:r>
    <w:r>
      <w:fldChar w:fldCharType="separate"/>
    </w:r>
    <w:r>
      <w:t>29</w:t>
    </w:r>
    <w:r>
      <w:fldChar w:fldCharType="end"/>
    </w:r>
  </w:p>
  <w:p>
    <w:pPr>
      <w:pStyle w:val="Rodap"/>
      <w:jc w:val="center"/>
      <w:rPr>
        <w:b/>
        <w:b/>
        <w:i/>
        <w:i/>
        <w:sz w:val="12"/>
      </w:rPr>
    </w:pPr>
    <w:r>
      <w:rPr>
        <w:b/>
        <w:i/>
        <w:sz w:val="12"/>
      </w:rPr>
      <mc:AlternateContent>
        <mc:Choice Requires="wps">
          <w:drawing>
            <wp:anchor behindDoc="1" distT="0" distB="0" distL="114300" distR="114300" simplePos="0" locked="0" layoutInCell="1" allowOverlap="1" relativeHeight="88" wp14:anchorId="75D673E4">
              <wp:simplePos x="0" y="0"/>
              <wp:positionH relativeFrom="column">
                <wp:posOffset>8890</wp:posOffset>
              </wp:positionH>
              <wp:positionV relativeFrom="paragraph">
                <wp:posOffset>6985</wp:posOffset>
              </wp:positionV>
              <wp:extent cx="6802755" cy="2540"/>
              <wp:effectExtent l="0" t="0" r="19050" b="19050"/>
              <wp:wrapNone/>
              <wp:docPr id="6" name="Conector reto 4"/>
              <a:graphic xmlns:a="http://schemas.openxmlformats.org/drawingml/2006/main">
                <a:graphicData uri="http://schemas.microsoft.com/office/word/2010/wordprocessingShape">
                  <wps:wsp>
                    <wps:cNvSpPr/>
                    <wps:spPr>
                      <a:xfrm>
                        <a:off x="0" y="0"/>
                        <a:ext cx="6802200" cy="180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7pt,0.55pt" to="536.25pt,0.65pt" ID="Conector reto 4" stroked="t" style="position:absolute" wp14:anchorId="75D673E4">
              <v:stroke color="black" weight="6480" joinstyle="miter" endcap="flat"/>
              <v:fill o:detectmouseclick="t" on="false"/>
            </v:line>
          </w:pict>
        </mc:Fallback>
      </mc:AlternateContent>
      <mc:AlternateContent>
        <mc:Choice Requires="wps">
          <w:drawing>
            <wp:anchor behindDoc="1" distT="0" distB="0" distL="114300" distR="114300" simplePos="0" locked="0" layoutInCell="1" allowOverlap="1" relativeHeight="117" wp14:anchorId="1ECBE63F">
              <wp:simplePos x="0" y="0"/>
              <wp:positionH relativeFrom="column">
                <wp:posOffset>8890</wp:posOffset>
              </wp:positionH>
              <wp:positionV relativeFrom="paragraph">
                <wp:posOffset>54610</wp:posOffset>
              </wp:positionV>
              <wp:extent cx="6802755" cy="2540"/>
              <wp:effectExtent l="0" t="0" r="19050" b="19050"/>
              <wp:wrapNone/>
              <wp:docPr id="7" name="Conector reto 5"/>
              <a:graphic xmlns:a="http://schemas.openxmlformats.org/drawingml/2006/main">
                <a:graphicData uri="http://schemas.microsoft.com/office/word/2010/wordprocessingShape">
                  <wps:wsp>
                    <wps:cNvSpPr/>
                    <wps:spPr>
                      <a:xfrm>
                        <a:off x="0" y="0"/>
                        <a:ext cx="6802200" cy="180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7pt,4.3pt" to="536.25pt,4.4pt" ID="Conector reto 5" stroked="t" style="position:absolute" wp14:anchorId="1ECBE63F">
              <v:stroke color="black" weight="6480" joinstyle="miter" endcap="flat"/>
              <v:fill o:detectmouseclick="t" on="false"/>
            </v:line>
          </w:pict>
        </mc:Fallback>
      </mc:AlternateContent>
    </w:r>
  </w:p>
  <w:p>
    <w:pPr>
      <w:pStyle w:val="Rodap"/>
      <w:jc w:val="center"/>
      <w:rPr>
        <w:sz w:val="24"/>
      </w:rPr>
    </w:pPr>
    <w:r>
      <w:rPr>
        <w:sz w:val="24"/>
      </w:rPr>
      <w:t>Rua Barão de Itapemirim, 05 – Centro – CEP: 29300-110 – Cachoeiro de Itapemirim – Espírito Santo</w:t>
    </w:r>
  </w:p>
  <w:p>
    <w:pPr>
      <w:pStyle w:val="Rodap"/>
      <w:jc w:val="center"/>
      <w:rPr>
        <w:sz w:val="24"/>
      </w:rPr>
    </w:pPr>
    <w:r>
      <w:rPr>
        <w:b/>
        <w:sz w:val="24"/>
      </w:rPr>
      <w:t>PABX: (28) 3526-5622 – FAX: (28) 3521-5753 –</w:t>
    </w:r>
    <w:r>
      <w:rPr>
        <w:sz w:val="24"/>
      </w:rPr>
      <w:t xml:space="preserve"> e-mail: cmci@cmci.es.gov.br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tabs>
        <w:tab w:val="left" w:pos="2685" w:leader="none"/>
        <w:tab w:val="center" w:pos="4252" w:leader="none"/>
        <w:tab w:val="right" w:pos="8504" w:leader="none"/>
      </w:tabs>
      <w:rPr>
        <w:rFonts w:ascii="Arial" w:hAnsi="Arial" w:cs="Arial"/>
        <w:sz w:val="30"/>
        <w:szCs w:val="30"/>
      </w:rPr>
    </w:pPr>
    <w:r>
      <w:drawing>
        <wp:anchor behindDoc="1" distT="0" distB="4445" distL="114300" distR="114300" simplePos="0" locked="0" layoutInCell="1" allowOverlap="1" relativeHeight="146">
          <wp:simplePos x="0" y="0"/>
          <wp:positionH relativeFrom="margin">
            <wp:posOffset>-188595</wp:posOffset>
          </wp:positionH>
          <wp:positionV relativeFrom="margin">
            <wp:posOffset>-1280795</wp:posOffset>
          </wp:positionV>
          <wp:extent cx="1485900" cy="1138555"/>
          <wp:effectExtent l="0" t="0" r="0" b="0"/>
          <wp:wrapSquare wrapText="bothSides"/>
          <wp:docPr id="3" name="Imagem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5" descr=""/>
                  <pic:cNvPicPr>
                    <a:picLocks noChangeAspect="1" noChangeArrowheads="1"/>
                  </pic:cNvPicPr>
                </pic:nvPicPr>
                <pic:blipFill>
                  <a:blip r:embed="rId1"/>
                  <a:stretch>
                    <a:fillRect/>
                  </a:stretch>
                </pic:blipFill>
                <pic:spPr bwMode="auto">
                  <a:xfrm>
                    <a:off x="0" y="0"/>
                    <a:ext cx="1485900" cy="1138555"/>
                  </a:xfrm>
                  <a:prstGeom prst="rect">
                    <a:avLst/>
                  </a:prstGeom>
                </pic:spPr>
              </pic:pic>
            </a:graphicData>
          </a:graphic>
        </wp:anchor>
      </w:drawing>
    </w:r>
    <w:r>
      <w:rPr>
        <w:rFonts w:cs="Arial" w:ascii="Arial" w:hAnsi="Arial"/>
        <w:sz w:val="30"/>
        <w:szCs w:val="30"/>
      </w:rPr>
      <w:t xml:space="preserve"> </w:t>
    </w:r>
    <w:r>
      <w:rPr>
        <w:rFonts w:cs="Arial" w:ascii="Arial" w:hAnsi="Arial"/>
        <w:sz w:val="30"/>
        <w:szCs w:val="30"/>
      </w:rPr>
      <w:t xml:space="preserve">                                  </w:t>
    </w:r>
    <w:r>
      <w:rPr>
        <w:rFonts w:cs="Arial" w:ascii="Arial" w:hAnsi="Arial"/>
        <w:sz w:val="30"/>
        <w:szCs w:val="30"/>
      </w:rPr>
      <w:t>CÂMARA MUNICIPAL DE CACHOEIRO DE ITAPEMIRIM</w:t>
    </w:r>
  </w:p>
  <w:p>
    <w:pPr>
      <w:pStyle w:val="Cabealho"/>
      <w:tabs>
        <w:tab w:val="left" w:pos="2685" w:leader="none"/>
        <w:tab w:val="center" w:pos="4252" w:leader="none"/>
        <w:tab w:val="right" w:pos="8504" w:leader="none"/>
      </w:tabs>
      <w:jc w:val="center"/>
      <w:rPr>
        <w:rFonts w:ascii="Arial" w:hAnsi="Arial" w:cs="Arial"/>
        <w:sz w:val="28"/>
      </w:rPr>
    </w:pPr>
    <w:r>
      <w:rPr>
        <w:rFonts w:cs="Arial" w:ascii="Arial" w:hAnsi="Arial"/>
        <w:sz w:val="30"/>
        <w:szCs w:val="30"/>
      </w:rPr>
      <w:t xml:space="preserve">                         </w:t>
    </w:r>
    <w:r>
      <w:rPr>
        <w:rFonts w:cs="Arial" w:ascii="Arial" w:hAnsi="Arial"/>
        <w:sz w:val="30"/>
        <w:szCs w:val="30"/>
      </w:rPr>
      <w:t>ESTADO DO ESPÍRITO SANTO</w:t>
    </w:r>
  </w:p>
  <w:p>
    <w:pPr>
      <w:pStyle w:val="Cabealho"/>
      <w:rPr>
        <w:b/>
        <w:b/>
        <w:i/>
        <w:i/>
      </w:rPr>
    </w:pPr>
    <w:r>
      <w:rPr>
        <w:b/>
        <w:i/>
      </w:rPr>
      <mc:AlternateContent>
        <mc:Choice Requires="wps">
          <w:drawing>
            <wp:anchor behindDoc="1" distT="0" distB="0" distL="114300" distR="114300" simplePos="0" locked="0" layoutInCell="1" allowOverlap="1" relativeHeight="30" wp14:anchorId="2999B3C2">
              <wp:simplePos x="0" y="0"/>
              <wp:positionH relativeFrom="column">
                <wp:posOffset>11430</wp:posOffset>
              </wp:positionH>
              <wp:positionV relativeFrom="paragraph">
                <wp:posOffset>40005</wp:posOffset>
              </wp:positionV>
              <wp:extent cx="6802755" cy="2540"/>
              <wp:effectExtent l="0" t="0" r="19050" b="19050"/>
              <wp:wrapNone/>
              <wp:docPr id="4" name="Conector reto 2"/>
              <a:graphic xmlns:a="http://schemas.openxmlformats.org/drawingml/2006/main">
                <a:graphicData uri="http://schemas.microsoft.com/office/word/2010/wordprocessingShape">
                  <wps:wsp>
                    <wps:cNvSpPr/>
                    <wps:spPr>
                      <a:xfrm>
                        <a:off x="0" y="0"/>
                        <a:ext cx="6802200" cy="180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9pt,3.15pt" to="536.45pt,3.25pt" ID="Conector reto 2" stroked="t" style="position:absolute" wp14:anchorId="2999B3C2">
              <v:stroke color="black" weight="6480" joinstyle="miter" endcap="flat"/>
              <v:fill o:detectmouseclick="t" on="false"/>
            </v:line>
          </w:pict>
        </mc:Fallback>
      </mc:AlternateContent>
      <mc:AlternateContent>
        <mc:Choice Requires="wps">
          <w:drawing>
            <wp:anchor behindDoc="1" distT="0" distB="0" distL="114300" distR="114300" simplePos="0" locked="0" layoutInCell="1" allowOverlap="1" relativeHeight="59" wp14:anchorId="220A8C10">
              <wp:simplePos x="0" y="0"/>
              <wp:positionH relativeFrom="column">
                <wp:posOffset>1905</wp:posOffset>
              </wp:positionH>
              <wp:positionV relativeFrom="paragraph">
                <wp:posOffset>116205</wp:posOffset>
              </wp:positionV>
              <wp:extent cx="6802755" cy="2540"/>
              <wp:effectExtent l="0" t="0" r="19050" b="19050"/>
              <wp:wrapNone/>
              <wp:docPr id="5" name="Conector reto 3"/>
              <a:graphic xmlns:a="http://schemas.openxmlformats.org/drawingml/2006/main">
                <a:graphicData uri="http://schemas.microsoft.com/office/word/2010/wordprocessingShape">
                  <wps:wsp>
                    <wps:cNvSpPr/>
                    <wps:spPr>
                      <a:xfrm>
                        <a:off x="0" y="0"/>
                        <a:ext cx="6802200" cy="1800"/>
                      </a:xfrm>
                      <a:prstGeom prst="line">
                        <a:avLst/>
                      </a:prstGeom>
                      <a:ln w="6480">
                        <a:solidFill>
                          <a:srgbClr val="000000"/>
                        </a:solidFill>
                        <a:miter/>
                      </a:ln>
                    </wps:spPr>
                    <wps:style>
                      <a:lnRef idx="0"/>
                      <a:fillRef idx="0"/>
                      <a:effectRef idx="0"/>
                      <a:fontRef idx="minor"/>
                    </wps:style>
                    <wps:bodyPr/>
                  </wps:wsp>
                </a:graphicData>
              </a:graphic>
            </wp:anchor>
          </w:drawing>
        </mc:Choice>
        <mc:Fallback>
          <w:pict>
            <v:line id="shape_0" from="0.15pt,9.15pt" to="535.7pt,9.25pt" ID="Conector reto 3" stroked="t" style="position:absolute" wp14:anchorId="220A8C10">
              <v:stroke color="black" weight="6480" joinstyle="miter" endcap="flat"/>
              <v:fill o:detectmouseclick="t" on="false"/>
            </v:line>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ind w:left="1068" w:hanging="360"/>
      </w:pPr>
      <w:rPr>
        <w:rFonts w:ascii="Verdana" w:hAnsi="Verdana" w:eastAsia="Calibri" w:cs="Times New Roman"/>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lvl w:ilvl="0">
      <w:start w:val="9"/>
      <w:numFmt w:val="decimal"/>
      <w:lvlText w:val="%1"/>
      <w:lvlJc w:val="left"/>
      <w:pPr>
        <w:ind w:left="375" w:hanging="375"/>
      </w:pPr>
    </w:lvl>
    <w:lvl w:ilvl="1">
      <w:start w:val="4"/>
      <w:numFmt w:val="decimal"/>
      <w:lvlText w:val="%1.%2"/>
      <w:lvlJc w:val="left"/>
      <w:pPr>
        <w:ind w:left="1428" w:hanging="7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4272" w:hanging="1440"/>
      </w:pPr>
    </w:lvl>
    <w:lvl w:ilvl="5">
      <w:start w:val="1"/>
      <w:numFmt w:val="decimal"/>
      <w:lvlText w:val="%1.%2.%3.%4.%5.%6"/>
      <w:lvlJc w:val="left"/>
      <w:pPr>
        <w:ind w:left="5340" w:hanging="1800"/>
      </w:pPr>
    </w:lvl>
    <w:lvl w:ilvl="6">
      <w:start w:val="1"/>
      <w:numFmt w:val="decimal"/>
      <w:lvlText w:val="%1.%2.%3.%4.%5.%6.%7"/>
      <w:lvlJc w:val="left"/>
      <w:pPr>
        <w:ind w:left="6048" w:hanging="1800"/>
      </w:pPr>
    </w:lvl>
    <w:lvl w:ilvl="7">
      <w:start w:val="1"/>
      <w:numFmt w:val="decimal"/>
      <w:lvlText w:val="%1.%2.%3.%4.%5.%6.%7.%8"/>
      <w:lvlJc w:val="left"/>
      <w:pPr>
        <w:ind w:left="7116" w:hanging="2160"/>
      </w:pPr>
    </w:lvl>
    <w:lvl w:ilvl="8">
      <w:start w:val="1"/>
      <w:numFmt w:val="decimal"/>
      <w:lvlText w:val="%1.%2.%3.%4.%5.%6.%7.%8.%9"/>
      <w:lvlJc w:val="left"/>
      <w:pPr>
        <w:ind w:left="8184" w:hanging="2520"/>
      </w:pPr>
    </w:lvl>
  </w:abstractNum>
  <w:abstractNum w:abstractNumId="3">
    <w:lvl w:ilvl="0">
      <w:start w:val="9"/>
      <w:numFmt w:val="decimal"/>
      <w:lvlText w:val="%1"/>
      <w:lvlJc w:val="left"/>
      <w:pPr>
        <w:ind w:left="600" w:hanging="600"/>
      </w:pPr>
    </w:lvl>
    <w:lvl w:ilvl="1">
      <w:start w:val="5"/>
      <w:numFmt w:val="decimal"/>
      <w:lvlText w:val="%1.%2"/>
      <w:lvlJc w:val="left"/>
      <w:pPr>
        <w:ind w:left="1075" w:hanging="720"/>
      </w:pPr>
    </w:lvl>
    <w:lvl w:ilvl="2">
      <w:start w:val="5"/>
      <w:numFmt w:val="decimal"/>
      <w:lvlText w:val="%1.%2.%3"/>
      <w:lvlJc w:val="left"/>
      <w:pPr>
        <w:ind w:left="1430" w:hanging="720"/>
      </w:pPr>
    </w:lvl>
    <w:lvl w:ilvl="3">
      <w:start w:val="1"/>
      <w:numFmt w:val="decimal"/>
      <w:lvlText w:val="%1.%2.%3.%4"/>
      <w:lvlJc w:val="left"/>
      <w:pPr>
        <w:ind w:left="2145" w:hanging="1080"/>
      </w:pPr>
    </w:lvl>
    <w:lvl w:ilvl="4">
      <w:start w:val="1"/>
      <w:numFmt w:val="decimal"/>
      <w:lvlText w:val="%1.%2.%3.%4.%5"/>
      <w:lvlJc w:val="left"/>
      <w:pPr>
        <w:ind w:left="2860" w:hanging="1440"/>
      </w:pPr>
    </w:lvl>
    <w:lvl w:ilvl="5">
      <w:start w:val="1"/>
      <w:numFmt w:val="decimal"/>
      <w:lvlText w:val="%1.%2.%3.%4.%5.%6"/>
      <w:lvlJc w:val="left"/>
      <w:pPr>
        <w:ind w:left="3575" w:hanging="1800"/>
      </w:pPr>
    </w:lvl>
    <w:lvl w:ilvl="6">
      <w:start w:val="1"/>
      <w:numFmt w:val="decimal"/>
      <w:lvlText w:val="%1.%2.%3.%4.%5.%6.%7"/>
      <w:lvlJc w:val="left"/>
      <w:pPr>
        <w:ind w:left="3930" w:hanging="1800"/>
      </w:pPr>
    </w:lvl>
    <w:lvl w:ilvl="7">
      <w:start w:val="1"/>
      <w:numFmt w:val="decimal"/>
      <w:lvlText w:val="%1.%2.%3.%4.%5.%6.%7.%8"/>
      <w:lvlJc w:val="left"/>
      <w:pPr>
        <w:ind w:left="4645" w:hanging="2160"/>
      </w:pPr>
    </w:lvl>
    <w:lvl w:ilvl="8">
      <w:start w:val="1"/>
      <w:numFmt w:val="decimal"/>
      <w:lvlText w:val="%1.%2.%3.%4.%5.%6.%7.%8.%9"/>
      <w:lvlJc w:val="left"/>
      <w:pPr>
        <w:ind w:left="5360" w:hanging="2520"/>
      </w:pPr>
    </w:lvl>
  </w:abstractNum>
  <w:abstractNum w:abstractNumId="4">
    <w:lvl w:ilvl="0">
      <w:start w:val="14"/>
      <w:numFmt w:val="decimal"/>
      <w:lvlText w:val="%1"/>
      <w:lvlJc w:val="left"/>
      <w:pPr>
        <w:ind w:left="750" w:hanging="750"/>
      </w:pPr>
    </w:lvl>
    <w:lvl w:ilvl="1">
      <w:start w:val="1"/>
      <w:numFmt w:val="decimal"/>
      <w:lvlText w:val="%1.%2"/>
      <w:lvlJc w:val="left"/>
      <w:pPr>
        <w:ind w:left="1104" w:hanging="750"/>
      </w:pPr>
    </w:lvl>
    <w:lvl w:ilvl="2">
      <w:start w:val="1"/>
      <w:numFmt w:val="decimal"/>
      <w:lvlText w:val="%1.%2.%3"/>
      <w:lvlJc w:val="left"/>
      <w:pPr>
        <w:ind w:left="1458" w:hanging="750"/>
      </w:pPr>
    </w:lvl>
    <w:lvl w:ilvl="3">
      <w:start w:val="1"/>
      <w:numFmt w:val="decimal"/>
      <w:lvlText w:val="%1.%2.%3.%4"/>
      <w:lvlJc w:val="left"/>
      <w:pPr>
        <w:ind w:left="2142" w:hanging="1080"/>
      </w:pPr>
    </w:lvl>
    <w:lvl w:ilvl="4">
      <w:start w:val="1"/>
      <w:numFmt w:val="decimal"/>
      <w:lvlText w:val="%1.%2.%3.%4.%5"/>
      <w:lvlJc w:val="left"/>
      <w:pPr>
        <w:ind w:left="2856" w:hanging="1440"/>
      </w:pPr>
    </w:lvl>
    <w:lvl w:ilvl="5">
      <w:start w:val="1"/>
      <w:numFmt w:val="decimal"/>
      <w:lvlText w:val="%1.%2.%3.%4.%5.%6"/>
      <w:lvlJc w:val="left"/>
      <w:pPr>
        <w:ind w:left="3570" w:hanging="1800"/>
      </w:pPr>
    </w:lvl>
    <w:lvl w:ilvl="6">
      <w:start w:val="1"/>
      <w:numFmt w:val="decimal"/>
      <w:lvlText w:val="%1.%2.%3.%4.%5.%6.%7"/>
      <w:lvlJc w:val="left"/>
      <w:pPr>
        <w:ind w:left="3924" w:hanging="1800"/>
      </w:pPr>
    </w:lvl>
    <w:lvl w:ilvl="7">
      <w:start w:val="1"/>
      <w:numFmt w:val="decimal"/>
      <w:lvlText w:val="%1.%2.%3.%4.%5.%6.%7.%8"/>
      <w:lvlJc w:val="left"/>
      <w:pPr>
        <w:ind w:left="4638" w:hanging="2160"/>
      </w:pPr>
    </w:lvl>
    <w:lvl w:ilvl="8">
      <w:start w:val="1"/>
      <w:numFmt w:val="decimal"/>
      <w:lvlText w:val="%1.%2.%3.%4.%5.%6.%7.%8.%9"/>
      <w:lvlJc w:val="left"/>
      <w:pPr>
        <w:ind w:left="5352" w:hanging="2520"/>
      </w:p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t-BR" w:eastAsia="pt-B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8103c"/>
    <w:pPr>
      <w:widowControl/>
      <w:bidi w:val="0"/>
      <w:spacing w:lineRule="auto" w:line="259" w:before="0" w:after="160"/>
      <w:jc w:val="left"/>
    </w:pPr>
    <w:rPr>
      <w:rFonts w:ascii="Calibri" w:hAnsi="Calibri" w:eastAsia="Calibri" w:cs="Times New Roman"/>
      <w:color w:val="00000A"/>
      <w:kern w:val="0"/>
      <w:sz w:val="22"/>
      <w:szCs w:val="22"/>
      <w:lang w:val="pt-BR" w:eastAsia="en-US" w:bidi="ar-SA"/>
    </w:rPr>
  </w:style>
  <w:style w:type="paragraph" w:styleId="Ttulo1">
    <w:name w:val="Heading 1"/>
    <w:basedOn w:val="Normal"/>
    <w:next w:val="Normal"/>
    <w:qFormat/>
    <w:pPr>
      <w:keepNext w:val="true"/>
      <w:spacing w:before="240" w:after="60"/>
      <w:outlineLvl w:val="0"/>
    </w:pPr>
    <w:rPr>
      <w:rFonts w:ascii="Cambria" w:hAnsi="Cambria" w:eastAsia="" w:cs="" w:asciiTheme="majorHAnsi" w:cstheme="majorBidi" w:eastAsiaTheme="majorEastAsia" w:hAnsiTheme="majorHAnsi"/>
      <w:b/>
      <w:bCs/>
      <w:kern w:val="2"/>
      <w:sz w:val="32"/>
      <w:szCs w:val="32"/>
    </w:rPr>
  </w:style>
  <w:style w:type="paragraph" w:styleId="Ttulo4">
    <w:name w:val="Heading 4"/>
    <w:basedOn w:val="Normal"/>
    <w:next w:val="Normal"/>
    <w:link w:val="Ttulo4Char"/>
    <w:qFormat/>
    <w:rsid w:val="00e964fe"/>
    <w:pPr>
      <w:keepNext w:val="true"/>
      <w:widowControl w:val="false"/>
      <w:suppressAutoHyphens w:val="true"/>
      <w:spacing w:lineRule="auto" w:line="240" w:before="0" w:after="0"/>
      <w:ind w:left="3225" w:hanging="360"/>
      <w:jc w:val="both"/>
      <w:outlineLvl w:val="3"/>
    </w:pPr>
    <w:rPr>
      <w:rFonts w:ascii="Times" w:hAnsi="Times" w:eastAsia="DejaVuSans" w:cs="Times"/>
      <w:b/>
      <w:kern w:val="2"/>
      <w:sz w:val="24"/>
      <w:szCs w:val="24"/>
      <w:lang w:eastAsia="zh-CN"/>
    </w:rPr>
  </w:style>
  <w:style w:type="paragraph" w:styleId="Ttulo5">
    <w:name w:val="Heading 5"/>
    <w:basedOn w:val="Normal"/>
    <w:next w:val="Normal"/>
    <w:link w:val="Ttulo5Char"/>
    <w:qFormat/>
    <w:rsid w:val="00e964fe"/>
    <w:pPr>
      <w:keepNext w:val="true"/>
      <w:widowControl w:val="false"/>
      <w:suppressAutoHyphens w:val="true"/>
      <w:spacing w:lineRule="auto" w:line="240" w:before="0" w:after="0"/>
      <w:ind w:left="3945" w:hanging="360"/>
      <w:outlineLvl w:val="4"/>
    </w:pPr>
    <w:rPr>
      <w:rFonts w:ascii="Times" w:hAnsi="Times" w:eastAsia="DejaVuSans" w:cs="Times"/>
      <w:b/>
      <w:kern w:val="2"/>
      <w:sz w:val="24"/>
      <w:szCs w:val="24"/>
      <w:lang w:eastAsia="zh-CN"/>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link w:val="Cabealho"/>
    <w:uiPriority w:val="99"/>
    <w:qFormat/>
    <w:rsid w:val="00641e62"/>
    <w:rPr/>
  </w:style>
  <w:style w:type="character" w:styleId="RodapChar" w:customStyle="1">
    <w:name w:val="Rodapé Char"/>
    <w:basedOn w:val="DefaultParagraphFont"/>
    <w:link w:val="Rodap"/>
    <w:uiPriority w:val="99"/>
    <w:qFormat/>
    <w:rsid w:val="00641e62"/>
    <w:rPr/>
  </w:style>
  <w:style w:type="character" w:styleId="TextodebaloChar" w:customStyle="1">
    <w:name w:val="Texto de balão Char"/>
    <w:link w:val="Textodebalo"/>
    <w:uiPriority w:val="99"/>
    <w:semiHidden/>
    <w:qFormat/>
    <w:rsid w:val="003c6e24"/>
    <w:rPr>
      <w:rFonts w:ascii="Segoe UI" w:hAnsi="Segoe UI" w:cs="Segoe UI"/>
      <w:sz w:val="18"/>
      <w:szCs w:val="18"/>
      <w:lang w:eastAsia="en-US"/>
    </w:rPr>
  </w:style>
  <w:style w:type="character" w:styleId="LinkdaInternet">
    <w:name w:val="Link da Internet"/>
    <w:uiPriority w:val="99"/>
    <w:unhideWhenUsed/>
    <w:rsid w:val="009a754f"/>
    <w:rPr>
      <w:color w:val="0563C1"/>
      <w:u w:val="single"/>
    </w:rPr>
  </w:style>
  <w:style w:type="character" w:styleId="Ttulo4Char" w:customStyle="1">
    <w:name w:val="Título 4 Char"/>
    <w:basedOn w:val="DefaultParagraphFont"/>
    <w:link w:val="Ttulo4"/>
    <w:qFormat/>
    <w:rsid w:val="00e964fe"/>
    <w:rPr>
      <w:rFonts w:ascii="Times" w:hAnsi="Times" w:eastAsia="DejaVuSans" w:cs="Times"/>
      <w:b/>
      <w:kern w:val="2"/>
      <w:sz w:val="24"/>
      <w:szCs w:val="24"/>
      <w:lang w:eastAsia="zh-CN"/>
    </w:rPr>
  </w:style>
  <w:style w:type="character" w:styleId="Ttulo5Char" w:customStyle="1">
    <w:name w:val="Título 5 Char"/>
    <w:basedOn w:val="DefaultParagraphFont"/>
    <w:link w:val="Ttulo5"/>
    <w:qFormat/>
    <w:rsid w:val="00e964fe"/>
    <w:rPr>
      <w:rFonts w:ascii="Times" w:hAnsi="Times" w:eastAsia="DejaVuSans" w:cs="Times"/>
      <w:b/>
      <w:kern w:val="2"/>
      <w:sz w:val="24"/>
      <w:szCs w:val="24"/>
      <w:lang w:eastAsia="zh-CN"/>
    </w:rPr>
  </w:style>
  <w:style w:type="character" w:styleId="ListLabel1">
    <w:name w:val="ListLabel 1"/>
    <w:qFormat/>
    <w:rPr>
      <w:rFonts w:ascii="Verdana" w:hAnsi="Verdana" w:eastAsia="Calibri"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ascii="Verdana" w:hAnsi="Verdana" w:eastAsia="Calibri" w:cs="Times New Roman"/>
    </w:rPr>
  </w:style>
  <w:style w:type="character" w:styleId="ListLabel6">
    <w:name w:val="ListLabel 6"/>
    <w:qFormat/>
    <w:rPr>
      <w:rFonts w:ascii="Verdana" w:hAnsi="Verdana" w:eastAsia="Calibri" w:cs="Times New Roman"/>
    </w:rPr>
  </w:style>
  <w:style w:type="paragraph" w:styleId="Ttulo">
    <w:name w:val="Título"/>
    <w:basedOn w:val="Normal"/>
    <w:next w:val="Corpodetexto"/>
    <w:qFormat/>
    <w:pPr>
      <w:keepNext w:val="true"/>
      <w:spacing w:before="240" w:after="120"/>
    </w:pPr>
    <w:rPr>
      <w:rFonts w:ascii="Liberation Sans" w:hAnsi="Liberation Sans" w:eastAsia="Microsoft YaHei" w:cs="Arial"/>
      <w:sz w:val="28"/>
      <w:szCs w:val="28"/>
    </w:rPr>
  </w:style>
  <w:style w:type="paragraph" w:styleId="Corpodetexto">
    <w:name w:val="Body Text"/>
    <w:basedOn w:val="Normal"/>
    <w:pPr>
      <w:spacing w:lineRule="auto" w:line="288" w:before="0" w:after="140"/>
    </w:pPr>
    <w:rPr/>
  </w:style>
  <w:style w:type="paragraph" w:styleId="Lista">
    <w:name w:val="List"/>
    <w:basedOn w:val="Corpode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alho">
    <w:name w:val="Header"/>
    <w:basedOn w:val="Normal"/>
    <w:link w:val="CabealhoChar"/>
    <w:uiPriority w:val="99"/>
    <w:unhideWhenUsed/>
    <w:rsid w:val="00641e62"/>
    <w:pPr>
      <w:tabs>
        <w:tab w:val="center" w:pos="4252" w:leader="none"/>
        <w:tab w:val="right" w:pos="8504" w:leader="none"/>
      </w:tabs>
      <w:spacing w:lineRule="auto" w:line="240" w:before="0" w:after="0"/>
    </w:pPr>
    <w:rPr/>
  </w:style>
  <w:style w:type="paragraph" w:styleId="Rodap">
    <w:name w:val="Footer"/>
    <w:basedOn w:val="Normal"/>
    <w:link w:val="RodapChar"/>
    <w:uiPriority w:val="99"/>
    <w:unhideWhenUsed/>
    <w:rsid w:val="00641e62"/>
    <w:pPr>
      <w:tabs>
        <w:tab w:val="center" w:pos="4252" w:leader="none"/>
        <w:tab w:val="right" w:pos="8504" w:leader="none"/>
      </w:tabs>
      <w:spacing w:lineRule="auto" w:line="240" w:before="0" w:after="0"/>
    </w:pPr>
    <w:rPr/>
  </w:style>
  <w:style w:type="paragraph" w:styleId="BalloonText">
    <w:name w:val="Balloon Text"/>
    <w:basedOn w:val="Normal"/>
    <w:link w:val="TextodebaloChar"/>
    <w:uiPriority w:val="99"/>
    <w:semiHidden/>
    <w:unhideWhenUsed/>
    <w:qFormat/>
    <w:rsid w:val="003c6e24"/>
    <w:pPr>
      <w:spacing w:lineRule="auto" w:line="240" w:before="0" w:after="0"/>
    </w:pPr>
    <w:rPr>
      <w:rFonts w:ascii="Segoe UI" w:hAnsi="Segoe UI"/>
      <w:sz w:val="18"/>
      <w:szCs w:val="18"/>
    </w:rPr>
  </w:style>
  <w:style w:type="paragraph" w:styleId="NoSpacing">
    <w:name w:val="No Spacing"/>
    <w:uiPriority w:val="1"/>
    <w:qFormat/>
    <w:rsid w:val="002a6e8e"/>
    <w:pPr>
      <w:widowControl/>
      <w:bidi w:val="0"/>
      <w:jc w:val="left"/>
    </w:pPr>
    <w:rPr>
      <w:rFonts w:ascii="Calibri" w:hAnsi="Calibri" w:eastAsia="Calibri" w:cs="Times New Roman"/>
      <w:color w:val="00000A"/>
      <w:kern w:val="0"/>
      <w:sz w:val="22"/>
      <w:szCs w:val="22"/>
      <w:lang w:val="pt-BR" w:eastAsia="en-US" w:bidi="ar-SA"/>
    </w:rPr>
  </w:style>
  <w:style w:type="paragraph" w:styleId="WWCorpodotexto" w:customStyle="1">
    <w:name w:val="WW-Corpo do texto"/>
    <w:basedOn w:val="Normal"/>
    <w:qFormat/>
    <w:rsid w:val="00e964fe"/>
    <w:pPr>
      <w:widowControl w:val="false"/>
      <w:suppressAutoHyphens w:val="true"/>
      <w:spacing w:lineRule="atLeast" w:line="240" w:before="0" w:after="0"/>
      <w:jc w:val="both"/>
    </w:pPr>
    <w:rPr>
      <w:rFonts w:ascii="Times" w:hAnsi="Times" w:eastAsia="DejaVuSans" w:cs="Times"/>
      <w:kern w:val="2"/>
      <w:sz w:val="24"/>
      <w:szCs w:val="24"/>
      <w:lang w:eastAsia="zh-CN"/>
    </w:rPr>
  </w:style>
  <w:style w:type="paragraph" w:styleId="Corpodetexto31" w:customStyle="1">
    <w:name w:val="Corpo de texto 31"/>
    <w:basedOn w:val="Normal"/>
    <w:qFormat/>
    <w:rsid w:val="00e964fe"/>
    <w:pPr>
      <w:widowControl w:val="false"/>
      <w:suppressAutoHyphens w:val="true"/>
      <w:spacing w:lineRule="auto" w:line="240" w:before="0" w:after="0"/>
    </w:pPr>
    <w:rPr>
      <w:rFonts w:ascii="Times" w:hAnsi="Times" w:eastAsia="DejaVuSans" w:cs="Times"/>
      <w:kern w:val="2"/>
      <w:sz w:val="24"/>
      <w:szCs w:val="24"/>
      <w:lang w:eastAsia="zh-CN"/>
    </w:rPr>
  </w:style>
  <w:style w:type="paragraph" w:styleId="ListParagraph">
    <w:name w:val="List Paragraph"/>
    <w:basedOn w:val="Normal"/>
    <w:uiPriority w:val="34"/>
    <w:qFormat/>
    <w:rsid w:val="001c0e4d"/>
    <w:pPr>
      <w:spacing w:before="0" w:after="160"/>
      <w:ind w:left="720" w:hanging="0"/>
      <w:contextualSpacing/>
    </w:pPr>
    <w:rPr/>
  </w:style>
  <w:style w:type="paragraph" w:styleId="Contedodoquadro">
    <w:name w:val="Conteúdo do quadro"/>
    <w:basedOn w:val="Normal"/>
    <w:qFormat/>
    <w:pPr/>
    <w:rPr/>
  </w:style>
  <w:style w:type="paragraph" w:styleId="Contedodatabela">
    <w:name w:val="Conteúdo da tabela"/>
    <w:basedOn w:val="Normal"/>
    <w:qFormat/>
    <w:pPr>
      <w:suppressLineNumbers/>
    </w:pPr>
    <w:rPr/>
  </w:style>
  <w:style w:type="paragraph" w:styleId="Ttulodetabela">
    <w:name w:val="Título de tabela"/>
    <w:basedOn w:val="Contedodatabela"/>
    <w:qFormat/>
    <w:pPr>
      <w:suppressLineNumbers/>
      <w:jc w:val="center"/>
    </w:pPr>
    <w:rPr>
      <w:b/>
      <w:bCs/>
    </w:rPr>
  </w:style>
  <w:style w:type="paragraph" w:styleId="ANEXORtulo">
    <w:name w:val="ANEXO - Rótulo"/>
    <w:basedOn w:val="Normal"/>
    <w:qFormat/>
    <w:pPr>
      <w:spacing w:before="120" w:after="240"/>
      <w:jc w:val="center"/>
    </w:pPr>
    <w:rPr>
      <w:b/>
    </w:rPr>
  </w:style>
  <w:style w:type="paragraph" w:styleId="ANEXOTtulo">
    <w:name w:val="ANEXO - Título"/>
    <w:basedOn w:val="Ttulo1"/>
    <w:qFormat/>
    <w:pPr>
      <w:spacing w:before="120" w:after="240"/>
      <w:jc w:val="center"/>
    </w:pPr>
    <w:rPr>
      <w:rFonts w:ascii="Times New Roman" w:hAnsi="Times New Roman" w:eastAsia="Times New Roman" w:cs="Times New Roman"/>
      <w:bCs w:val="false"/>
      <w:i/>
      <w:kern w:val="0"/>
      <w:szCs w:val="24"/>
    </w:rPr>
  </w:style>
  <w:style w:type="paragraph" w:styleId="AnexoSubttulo">
    <w:name w:val="Anexo - Subtítulo"/>
    <w:basedOn w:val="Normal"/>
    <w:qFormat/>
    <w:pPr>
      <w:spacing w:before="120" w:after="480"/>
      <w:jc w:val="center"/>
    </w:pPr>
    <w:rPr>
      <w:b/>
    </w:rPr>
  </w:style>
  <w:style w:type="paragraph" w:styleId="PargrafoNormal">
    <w:name w:val="Parágrafo Normal"/>
    <w:basedOn w:val="Normal"/>
    <w:qFormat/>
    <w:pPr>
      <w:spacing w:before="0" w:after="120"/>
      <w:jc w:val="both"/>
    </w:pPr>
    <w:rPr/>
  </w:style>
  <w:style w:type="paragraph" w:styleId="Corpodetextorecuado">
    <w:name w:val="Body Text Indent"/>
    <w:basedOn w:val="Normal"/>
    <w:pPr>
      <w:spacing w:before="0" w:after="120"/>
      <w:ind w:left="283" w:hanging="0"/>
    </w:pPr>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table" w:styleId="Tabelacomgrade">
    <w:name w:val="Table Grid"/>
    <w:basedOn w:val="Tabelanormal"/>
    <w:uiPriority w:val="39"/>
    <w:rsid w:val="00a47f8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st.jus.br/certidao"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EB0C1-32AE-434B-9E93-23A7B6078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PAPEL TIMBRADO CAMARA</Template>
  <TotalTime>163</TotalTime>
  <Application>LibreOffice/5.4.4.2$Windows_X86_64 LibreOffice_project/2524958677847fb3bb44820e40380acbe820f960</Application>
  <Pages>29</Pages>
  <Words>6335</Words>
  <Characters>34800</Characters>
  <CharactersWithSpaces>41071</CharactersWithSpaces>
  <Paragraphs>422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2016-04-11T13:17:00Z</dcterms:created>
  <dc:creator>Rosa</dc:creator>
  <dc:description/>
  <dc:language>pt-BR</dc:language>
  <cp:lastModifiedBy/>
  <cp:lastPrinted>2018-12-12T10:02:31Z</cp:lastPrinted>
  <dcterms:modified xsi:type="dcterms:W3CDTF">2018-12-12T10:06:43Z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